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both"/>
        <w:rPr>
          <w:rFonts w:hint="eastAsia" w:ascii="楷体_GB2312" w:eastAsia="楷体_GB2312" w:cs="Times New Roman"/>
          <w:bCs/>
          <w:color w:val="000000" w:themeColor="text1"/>
          <w:sz w:val="32"/>
          <w:szCs w:val="32"/>
          <w:highlight w:val="white"/>
          <w14:textFill>
            <w14:solidFill>
              <w14:schemeClr w14:val="tx1"/>
            </w14:solidFill>
          </w14:textFill>
        </w:rPr>
      </w:pPr>
      <w:bookmarkStart w:id="0" w:name="EB2637ed32289d40f7af8580009da0068f"/>
      <w:r>
        <w:rPr>
          <w:rFonts w:hint="eastAsia" w:ascii="楷体_GB2312" w:eastAsia="楷体_GB2312" w:cs="Times New Roman"/>
          <w:bCs/>
          <w:color w:val="000000" w:themeColor="text1"/>
          <w:sz w:val="32"/>
          <w:szCs w:val="32"/>
          <w:highlight w:val="white"/>
          <w14:textFill>
            <w14:solidFill>
              <w14:schemeClr w14:val="tx1"/>
            </w14:solidFill>
          </w14:textFill>
        </w:rPr>
        <w:t>合同编号：</w:t>
      </w:r>
      <w:r>
        <w:rPr>
          <w:rFonts w:hint="eastAsia" w:ascii="楷体_GB2312" w:eastAsia="楷体_GB2312"/>
          <w:bCs/>
          <w:color w:val="000000" w:themeColor="text1"/>
          <w:sz w:val="32"/>
          <w:szCs w:val="32"/>
          <w:highlight w:val="white"/>
          <w14:textFill>
            <w14:solidFill>
              <w14:schemeClr w14:val="tx1"/>
            </w14:solidFill>
          </w14:textFill>
        </w:rPr>
        <w:t>HTSWGCGF012024086</w:t>
      </w:r>
    </w:p>
    <w:p>
      <w:pPr>
        <w:pStyle w:val="2"/>
        <w:rPr>
          <w:rFonts w:hint="eastAsia"/>
          <w:color w:val="000000" w:themeColor="text1"/>
          <w14:textFill>
            <w14:solidFill>
              <w14:schemeClr w14:val="tx1"/>
            </w14:solidFill>
          </w14:textFill>
        </w:rPr>
      </w:pPr>
    </w:p>
    <w:p>
      <w:pPr>
        <w:jc w:val="center"/>
        <w:rPr>
          <w:rFonts w:hint="eastAsia" w:ascii="方正小标宋简体" w:hAnsi="宋体" w:eastAsia="方正小标宋简体" w:cs="Times New Roman"/>
          <w:color w:val="000000" w:themeColor="text1"/>
          <w:sz w:val="52"/>
          <w:szCs w:val="52"/>
          <w14:textFill>
            <w14:solidFill>
              <w14:schemeClr w14:val="tx1"/>
            </w14:solidFill>
          </w14:textFill>
        </w:rPr>
      </w:pPr>
      <w:r>
        <w:rPr>
          <w:rFonts w:hint="eastAsia" w:ascii="方正小标宋简体" w:hAnsi="宋体" w:eastAsia="方正小标宋简体" w:cs="Times New Roman"/>
          <w:color w:val="000000" w:themeColor="text1"/>
          <w:sz w:val="52"/>
          <w:szCs w:val="52"/>
          <w14:textFill>
            <w14:solidFill>
              <w14:schemeClr w14:val="tx1"/>
            </w14:solidFill>
          </w14:textFill>
        </w:rPr>
        <w:t>眉山环天</w:t>
      </w:r>
      <w:r>
        <w:rPr>
          <w:rFonts w:hint="eastAsia" w:ascii="方正小标宋简体" w:hAnsi="宋体" w:eastAsia="方正小标宋简体" w:cs="Times New Roman"/>
          <w:color w:val="000000" w:themeColor="text1"/>
          <w:sz w:val="52"/>
          <w:szCs w:val="52"/>
          <w:u w:val="none"/>
          <w:lang w:val="en-US" w:eastAsia="zh-CN"/>
          <w14:textFill>
            <w14:solidFill>
              <w14:schemeClr w14:val="tx1"/>
            </w14:solidFill>
          </w14:textFill>
        </w:rPr>
        <w:t>水务</w:t>
      </w:r>
      <w:r>
        <w:rPr>
          <w:rFonts w:hint="eastAsia" w:ascii="方正小标宋简体" w:hAnsi="宋体" w:eastAsia="方正小标宋简体" w:cs="Times New Roman"/>
          <w:color w:val="000000" w:themeColor="text1"/>
          <w:sz w:val="52"/>
          <w:szCs w:val="52"/>
          <w:lang w:val="en-US" w:eastAsia="zh-CN"/>
          <w14:textFill>
            <w14:solidFill>
              <w14:schemeClr w14:val="tx1"/>
            </w14:solidFill>
          </w14:textFill>
        </w:rPr>
        <w:t>有限</w:t>
      </w:r>
      <w:r>
        <w:rPr>
          <w:rFonts w:hint="eastAsia" w:ascii="方正小标宋简体" w:hAnsi="宋体" w:eastAsia="方正小标宋简体" w:cs="Times New Roman"/>
          <w:color w:val="000000" w:themeColor="text1"/>
          <w:sz w:val="52"/>
          <w:szCs w:val="52"/>
          <w14:textFill>
            <w14:solidFill>
              <w14:schemeClr w14:val="tx1"/>
            </w14:solidFill>
          </w14:textFill>
        </w:rPr>
        <w:t>公司</w:t>
      </w:r>
    </w:p>
    <w:p>
      <w:pPr>
        <w:jc w:val="center"/>
        <w:rPr>
          <w:rFonts w:hint="eastAsia" w:ascii="方正小标宋简体" w:hAnsi="宋体" w:eastAsia="方正小标宋简体" w:cs="Times New Roman"/>
          <w:color w:val="000000" w:themeColor="text1"/>
          <w:sz w:val="52"/>
          <w:szCs w:val="52"/>
          <w:lang w:val="en-US" w:eastAsia="zh-CN"/>
          <w14:textFill>
            <w14:solidFill>
              <w14:schemeClr w14:val="tx1"/>
            </w14:solidFill>
          </w14:textFill>
        </w:rPr>
      </w:pPr>
      <w:r>
        <w:rPr>
          <w:rFonts w:hint="eastAsia" w:ascii="方正小标宋简体" w:hAnsi="宋体" w:eastAsia="方正小标宋简体" w:cs="Times New Roman"/>
          <w:color w:val="000000" w:themeColor="text1"/>
          <w:spacing w:val="0"/>
          <w:w w:val="100"/>
          <w:sz w:val="52"/>
          <w:szCs w:val="52"/>
          <w:lang w:val="en-US" w:eastAsia="zh-CN"/>
          <w14:textFill>
            <w14:solidFill>
              <w14:schemeClr w14:val="tx1"/>
            </w14:solidFill>
          </w14:textFill>
        </w:rPr>
        <w:t>眉山天府新区2024年视高南拓新功能区配套主供水设施项目</w:t>
      </w:r>
      <w:r>
        <w:rPr>
          <w:rFonts w:hint="eastAsia" w:ascii="方正小标宋简体" w:hAnsi="宋体" w:eastAsia="方正小标宋简体" w:cs="Times New Roman"/>
          <w:color w:val="000000" w:themeColor="text1"/>
          <w:sz w:val="52"/>
          <w:szCs w:val="52"/>
          <w:lang w:val="en-US" w:eastAsia="zh-CN"/>
          <w14:textFill>
            <w14:solidFill>
              <w14:schemeClr w14:val="tx1"/>
            </w14:solidFill>
          </w14:textFill>
        </w:rPr>
        <w:t>建设工程</w:t>
      </w:r>
    </w:p>
    <w:p>
      <w:pPr>
        <w:jc w:val="center"/>
        <w:rPr>
          <w:rFonts w:hint="eastAsia" w:ascii="方正小标宋简体" w:hAnsi="宋体" w:eastAsia="方正小标宋简体" w:cs="Times New Roman"/>
          <w:color w:val="000000" w:themeColor="text1"/>
          <w:sz w:val="52"/>
          <w:szCs w:val="52"/>
          <w:lang w:val="en-US" w:eastAsia="zh-CN"/>
          <w14:textFill>
            <w14:solidFill>
              <w14:schemeClr w14:val="tx1"/>
            </w14:solidFill>
          </w14:textFill>
        </w:rPr>
      </w:pPr>
    </w:p>
    <w:p>
      <w:pPr>
        <w:jc w:val="center"/>
        <w:rPr>
          <w:rFonts w:hint="eastAsia" w:ascii="方正小标宋简体" w:hAnsi="宋体" w:eastAsia="方正小标宋简体" w:cs="Times New Roman"/>
          <w:color w:val="000000" w:themeColor="text1"/>
          <w:sz w:val="56"/>
          <w:szCs w:val="56"/>
          <w14:textFill>
            <w14:solidFill>
              <w14:schemeClr w14:val="tx1"/>
            </w14:solidFill>
          </w14:textFill>
        </w:rPr>
      </w:pPr>
      <w:r>
        <w:rPr>
          <w:rFonts w:hint="eastAsia" w:ascii="方正小标宋简体" w:hAnsi="宋体" w:eastAsia="方正小标宋简体" w:cs="Times New Roman"/>
          <w:color w:val="000000" w:themeColor="text1"/>
          <w:sz w:val="56"/>
          <w:szCs w:val="56"/>
          <w14:textFill>
            <w14:solidFill>
              <w14:schemeClr w14:val="tx1"/>
            </w14:solidFill>
          </w14:textFill>
        </w:rPr>
        <w:t>勘</w:t>
      </w:r>
    </w:p>
    <w:p>
      <w:pPr>
        <w:jc w:val="center"/>
        <w:rPr>
          <w:rFonts w:hint="eastAsia" w:ascii="方正小标宋简体" w:hAnsi="宋体" w:eastAsia="方正小标宋简体" w:cs="Times New Roman"/>
          <w:color w:val="000000" w:themeColor="text1"/>
          <w:sz w:val="56"/>
          <w:szCs w:val="56"/>
          <w14:textFill>
            <w14:solidFill>
              <w14:schemeClr w14:val="tx1"/>
            </w14:solidFill>
          </w14:textFill>
        </w:rPr>
      </w:pPr>
      <w:r>
        <w:rPr>
          <w:rFonts w:hint="eastAsia" w:ascii="方正小标宋简体" w:hAnsi="宋体" w:eastAsia="方正小标宋简体" w:cs="Times New Roman"/>
          <w:color w:val="000000" w:themeColor="text1"/>
          <w:sz w:val="56"/>
          <w:szCs w:val="56"/>
          <w14:textFill>
            <w14:solidFill>
              <w14:schemeClr w14:val="tx1"/>
            </w14:solidFill>
          </w14:textFill>
        </w:rPr>
        <w:t>察</w:t>
      </w:r>
    </w:p>
    <w:p>
      <w:pPr>
        <w:jc w:val="center"/>
        <w:rPr>
          <w:rFonts w:hint="eastAsia" w:ascii="方正小标宋简体" w:hAnsi="宋体" w:eastAsia="方正小标宋简体" w:cs="Times New Roman"/>
          <w:color w:val="000000" w:themeColor="text1"/>
          <w:sz w:val="56"/>
          <w:szCs w:val="56"/>
          <w14:textFill>
            <w14:solidFill>
              <w14:schemeClr w14:val="tx1"/>
            </w14:solidFill>
          </w14:textFill>
        </w:rPr>
      </w:pPr>
      <w:r>
        <w:rPr>
          <w:rFonts w:hint="eastAsia" w:ascii="方正小标宋简体" w:hAnsi="宋体" w:eastAsia="方正小标宋简体" w:cs="Times New Roman"/>
          <w:color w:val="000000" w:themeColor="text1"/>
          <w:sz w:val="56"/>
          <w:szCs w:val="56"/>
          <w14:textFill>
            <w14:solidFill>
              <w14:schemeClr w14:val="tx1"/>
            </w14:solidFill>
          </w14:textFill>
        </w:rPr>
        <w:t>设</w:t>
      </w:r>
    </w:p>
    <w:p>
      <w:pPr>
        <w:jc w:val="center"/>
        <w:rPr>
          <w:rFonts w:hint="eastAsia" w:ascii="方正小标宋简体" w:hAnsi="宋体" w:eastAsia="方正小标宋简体" w:cs="Times New Roman"/>
          <w:color w:val="000000" w:themeColor="text1"/>
          <w:sz w:val="56"/>
          <w:szCs w:val="56"/>
          <w14:textFill>
            <w14:solidFill>
              <w14:schemeClr w14:val="tx1"/>
            </w14:solidFill>
          </w14:textFill>
        </w:rPr>
      </w:pPr>
      <w:r>
        <w:rPr>
          <w:rFonts w:hint="eastAsia" w:ascii="方正小标宋简体" w:hAnsi="宋体" w:eastAsia="方正小标宋简体" w:cs="Times New Roman"/>
          <w:color w:val="000000" w:themeColor="text1"/>
          <w:sz w:val="56"/>
          <w:szCs w:val="56"/>
          <w14:textFill>
            <w14:solidFill>
              <w14:schemeClr w14:val="tx1"/>
            </w14:solidFill>
          </w14:textFill>
        </w:rPr>
        <w:t>计</w:t>
      </w:r>
    </w:p>
    <w:p>
      <w:pPr>
        <w:jc w:val="center"/>
        <w:rPr>
          <w:rFonts w:hint="eastAsia" w:ascii="方正小标宋简体" w:hAnsi="宋体" w:eastAsia="方正小标宋简体" w:cs="Times New Roman"/>
          <w:color w:val="000000" w:themeColor="text1"/>
          <w:sz w:val="56"/>
          <w:szCs w:val="56"/>
          <w14:textFill>
            <w14:solidFill>
              <w14:schemeClr w14:val="tx1"/>
            </w14:solidFill>
          </w14:textFill>
        </w:rPr>
      </w:pPr>
      <w:r>
        <w:rPr>
          <w:rFonts w:hint="eastAsia" w:ascii="方正小标宋简体" w:hAnsi="宋体" w:eastAsia="方正小标宋简体" w:cs="Times New Roman"/>
          <w:color w:val="000000" w:themeColor="text1"/>
          <w:sz w:val="56"/>
          <w:szCs w:val="56"/>
          <w14:textFill>
            <w14:solidFill>
              <w14:schemeClr w14:val="tx1"/>
            </w14:solidFill>
          </w14:textFill>
        </w:rPr>
        <w:t>合</w:t>
      </w:r>
    </w:p>
    <w:p>
      <w:pPr>
        <w:jc w:val="center"/>
        <w:rPr>
          <w:rFonts w:hint="eastAsia" w:ascii="方正小标宋简体" w:hAnsi="宋体" w:eastAsia="方正小标宋简体" w:cs="Times New Roman"/>
          <w:color w:val="000000" w:themeColor="text1"/>
          <w:sz w:val="52"/>
          <w:szCs w:val="52"/>
          <w14:textFill>
            <w14:solidFill>
              <w14:schemeClr w14:val="tx1"/>
            </w14:solidFill>
          </w14:textFill>
        </w:rPr>
      </w:pPr>
      <w:r>
        <w:rPr>
          <w:rFonts w:hint="eastAsia" w:ascii="方正小标宋简体" w:hAnsi="宋体" w:eastAsia="方正小标宋简体" w:cs="Times New Roman"/>
          <w:color w:val="000000" w:themeColor="text1"/>
          <w:sz w:val="56"/>
          <w:szCs w:val="56"/>
          <w14:textFill>
            <w14:solidFill>
              <w14:schemeClr w14:val="tx1"/>
            </w14:solidFill>
          </w14:textFill>
        </w:rPr>
        <w:t>同</w:t>
      </w:r>
    </w:p>
    <w:p>
      <w:pPr>
        <w:pStyle w:val="2"/>
        <w:jc w:val="both"/>
        <w:rPr>
          <w:rFonts w:hint="eastAsia"/>
          <w:color w:val="000000" w:themeColor="text1"/>
          <w14:textFill>
            <w14:solidFill>
              <w14:schemeClr w14:val="tx1"/>
            </w14:solidFill>
          </w14:textFill>
        </w:rPr>
      </w:pPr>
    </w:p>
    <w:p>
      <w:pPr>
        <w:jc w:val="left"/>
        <w:rPr>
          <w:rFonts w:hint="eastAsia" w:ascii="宋体" w:hAnsi="宋体" w:cs="仿宋"/>
          <w:color w:val="000000" w:themeColor="text1"/>
          <w:sz w:val="32"/>
          <w:szCs w:val="32"/>
          <w:highlight w:val="none"/>
          <w14:textFill>
            <w14:solidFill>
              <w14:schemeClr w14:val="tx1"/>
            </w14:solidFill>
          </w14:textFill>
        </w:rPr>
      </w:pPr>
    </w:p>
    <w:p>
      <w:pPr>
        <w:spacing w:line="360" w:lineRule="auto"/>
        <w:ind w:firstLine="1280" w:firstLineChars="400"/>
        <w:rPr>
          <w:rFonts w:ascii="仿宋_GB2312" w:eastAsia="仿宋_GB2312"/>
          <w:bCs/>
          <w:color w:val="000000" w:themeColor="text1"/>
          <w:sz w:val="32"/>
          <w:szCs w:val="32"/>
          <w:highlight w:val="none"/>
          <w:u w:val="single"/>
          <w14:textFill>
            <w14:solidFill>
              <w14:schemeClr w14:val="tx1"/>
            </w14:solidFill>
          </w14:textFill>
        </w:rPr>
      </w:pPr>
      <w:r>
        <w:rPr>
          <w:rFonts w:hint="eastAsia" w:ascii="仿宋_GB2312" w:eastAsia="仿宋_GB2312"/>
          <w:bCs/>
          <w:color w:val="000000" w:themeColor="text1"/>
          <w:sz w:val="32"/>
          <w:szCs w:val="32"/>
          <w:highlight w:val="none"/>
          <w14:textFill>
            <w14:solidFill>
              <w14:schemeClr w14:val="tx1"/>
            </w14:solidFill>
          </w14:textFill>
        </w:rPr>
        <w:t>甲    方：</w:t>
      </w:r>
      <w:r>
        <w:rPr>
          <w:rFonts w:hint="eastAsia" w:ascii="仿宋_GB2312" w:eastAsia="仿宋_GB2312"/>
          <w:bCs/>
          <w:color w:val="000000" w:themeColor="text1"/>
          <w:sz w:val="32"/>
          <w:szCs w:val="32"/>
          <w:highlight w:val="none"/>
          <w:u w:val="single"/>
          <w14:textFill>
            <w14:solidFill>
              <w14:schemeClr w14:val="tx1"/>
            </w14:solidFill>
          </w14:textFill>
        </w:rPr>
        <w:t>眉山环天</w:t>
      </w:r>
      <w:r>
        <w:rPr>
          <w:rFonts w:hint="eastAsia" w:ascii="仿宋_GB2312" w:eastAsia="仿宋_GB2312"/>
          <w:bCs/>
          <w:color w:val="000000" w:themeColor="text1"/>
          <w:sz w:val="32"/>
          <w:szCs w:val="32"/>
          <w:highlight w:val="none"/>
          <w:u w:val="single"/>
          <w:lang w:val="en-US" w:eastAsia="zh-CN"/>
          <w14:textFill>
            <w14:solidFill>
              <w14:schemeClr w14:val="tx1"/>
            </w14:solidFill>
          </w14:textFill>
        </w:rPr>
        <w:t>水务</w:t>
      </w:r>
      <w:r>
        <w:rPr>
          <w:rFonts w:hint="eastAsia" w:ascii="仿宋_GB2312" w:eastAsia="仿宋_GB2312"/>
          <w:bCs/>
          <w:color w:val="000000" w:themeColor="text1"/>
          <w:sz w:val="32"/>
          <w:szCs w:val="32"/>
          <w:highlight w:val="none"/>
          <w:u w:val="single"/>
          <w14:textFill>
            <w14:solidFill>
              <w14:schemeClr w14:val="tx1"/>
            </w14:solidFill>
          </w14:textFill>
        </w:rPr>
        <w:t>有限公司</w:t>
      </w:r>
    </w:p>
    <w:p>
      <w:pPr>
        <w:spacing w:line="360" w:lineRule="auto"/>
        <w:ind w:firstLine="1280" w:firstLineChars="400"/>
        <w:rPr>
          <w:rFonts w:hint="default" w:ascii="仿宋_GB2312" w:eastAsia="仿宋_GB2312"/>
          <w:bCs/>
          <w:color w:val="000000" w:themeColor="text1"/>
          <w:sz w:val="32"/>
          <w:szCs w:val="32"/>
          <w:u w:val="single"/>
          <w:lang w:val="en-US"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乙    方：</w:t>
      </w:r>
      <w:r>
        <w:rPr>
          <w:rFonts w:hint="eastAsia" w:ascii="仿宋_GB2312" w:eastAsia="仿宋_GB2312"/>
          <w:bCs/>
          <w:color w:val="000000" w:themeColor="text1"/>
          <w:sz w:val="32"/>
          <w:szCs w:val="32"/>
          <w:u w:val="single"/>
          <w14:textFill>
            <w14:solidFill>
              <w14:schemeClr w14:val="tx1"/>
            </w14:solidFill>
          </w14:textFill>
        </w:rPr>
        <w:t xml:space="preserve">    </w:t>
      </w:r>
      <w:r>
        <w:rPr>
          <w:rFonts w:hint="eastAsia" w:ascii="仿宋_GB2312" w:eastAsia="仿宋_GB2312"/>
          <w:bCs/>
          <w:color w:val="000000" w:themeColor="text1"/>
          <w:sz w:val="32"/>
          <w:szCs w:val="32"/>
          <w:u w:val="single"/>
          <w:lang w:val="en-US" w:eastAsia="zh-CN"/>
          <w14:textFill>
            <w14:solidFill>
              <w14:schemeClr w14:val="tx1"/>
            </w14:solidFill>
          </w14:textFill>
        </w:rPr>
        <w:t xml:space="preserve">                </w:t>
      </w:r>
    </w:p>
    <w:p>
      <w:pPr>
        <w:pStyle w:val="82"/>
        <w:spacing w:line="360" w:lineRule="auto"/>
        <w:ind w:firstLine="1280" w:firstLineChars="400"/>
        <w:jc w:val="both"/>
        <w:rPr>
          <w:rFonts w:ascii="仿宋_GB2312" w:hAnsi="黑体" w:eastAsia="仿宋_GB2312" w:cs="宋体"/>
          <w:color w:val="000000" w:themeColor="text1"/>
          <w:sz w:val="32"/>
          <w:szCs w:val="32"/>
          <w:u w:val="single"/>
          <w14:textFill>
            <w14:solidFill>
              <w14:schemeClr w14:val="tx1"/>
            </w14:solidFill>
          </w14:textFill>
        </w:rPr>
      </w:pPr>
      <w:r>
        <w:rPr>
          <w:rFonts w:hint="eastAsia" w:ascii="仿宋_GB2312" w:hAnsi="黑体" w:eastAsia="仿宋_GB2312" w:cs="宋体"/>
          <w:color w:val="000000" w:themeColor="text1"/>
          <w:sz w:val="32"/>
          <w:szCs w:val="32"/>
          <w14:textFill>
            <w14:solidFill>
              <w14:schemeClr w14:val="tx1"/>
            </w14:solidFill>
          </w14:textFill>
        </w:rPr>
        <w:t>签订地点：</w:t>
      </w:r>
      <w:r>
        <w:rPr>
          <w:rFonts w:hint="eastAsia" w:ascii="仿宋_GB2312" w:hAnsi="黑体" w:eastAsia="仿宋_GB2312" w:cs="宋体"/>
          <w:color w:val="000000" w:themeColor="text1"/>
          <w:sz w:val="32"/>
          <w:szCs w:val="32"/>
          <w:u w:val="single"/>
          <w14:textFill>
            <w14:solidFill>
              <w14:schemeClr w14:val="tx1"/>
            </w14:solidFill>
          </w14:textFill>
        </w:rPr>
        <w:t>四川省眉山市仁寿县视高镇老君社区</w:t>
      </w:r>
      <w:r>
        <w:rPr>
          <w:rFonts w:hint="eastAsia" w:ascii="仿宋_GB2312" w:hAnsi="黑体" w:eastAsia="仿宋_GB2312" w:cs="宋体"/>
          <w:color w:val="000000" w:themeColor="text1"/>
          <w:sz w:val="32"/>
          <w:szCs w:val="32"/>
          <w14:textFill>
            <w14:solidFill>
              <w14:schemeClr w14:val="tx1"/>
            </w14:solidFill>
          </w14:textFill>
        </w:rPr>
        <w:t xml:space="preserve">   </w:t>
      </w:r>
    </w:p>
    <w:p>
      <w:pPr>
        <w:pStyle w:val="70"/>
        <w:spacing w:after="240" w:afterLines="100"/>
        <w:ind w:firstLine="1280" w:firstLineChars="40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黑体" w:eastAsia="仿宋_GB2312" w:cs="宋体"/>
          <w:color w:val="000000" w:themeColor="text1"/>
          <w:sz w:val="32"/>
          <w:szCs w:val="32"/>
          <w14:textFill>
            <w14:solidFill>
              <w14:schemeClr w14:val="tx1"/>
            </w14:solidFill>
          </w14:textFill>
        </w:rPr>
        <w:t>签订</w:t>
      </w:r>
      <w:r>
        <w:rPr>
          <w:rFonts w:hint="eastAsia" w:ascii="仿宋_GB2312" w:hAnsi="Times New Roman" w:eastAsia="仿宋_GB2312"/>
          <w:color w:val="000000" w:themeColor="text1"/>
          <w:sz w:val="32"/>
          <w:szCs w:val="32"/>
          <w14:textFill>
            <w14:solidFill>
              <w14:schemeClr w14:val="tx1"/>
            </w14:solidFill>
          </w14:textFill>
        </w:rPr>
        <w:t>时间：</w:t>
      </w:r>
      <w:r>
        <w:rPr>
          <w:rFonts w:hint="eastAsia" w:ascii="仿宋_GB2312" w:hAnsi="Times New Roman"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hAnsi="Times New Roman" w:eastAsia="仿宋_GB2312"/>
          <w:color w:val="000000" w:themeColor="text1"/>
          <w:sz w:val="32"/>
          <w:szCs w:val="32"/>
          <w:u w:val="single"/>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年</w:t>
      </w:r>
      <w:r>
        <w:rPr>
          <w:rFonts w:hint="eastAsia" w:ascii="仿宋_GB2312" w:hAnsi="Times New Roman"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月</w:t>
      </w:r>
      <w:r>
        <w:rPr>
          <w:rFonts w:hint="eastAsia" w:ascii="仿宋_GB2312" w:hAnsi="Times New Roman" w:eastAsia="仿宋_GB2312"/>
          <w:color w:val="000000" w:themeColor="text1"/>
          <w:sz w:val="32"/>
          <w:szCs w:val="32"/>
          <w:u w:val="single"/>
          <w14:textFill>
            <w14:solidFill>
              <w14:schemeClr w14:val="tx1"/>
            </w14:solidFill>
          </w14:textFill>
        </w:rPr>
        <w:t xml:space="preserve"> </w:t>
      </w:r>
      <w:r>
        <w:rPr>
          <w:rFonts w:hint="eastAsia" w:ascii="仿宋_GB2312" w:hAnsi="Times New Roman"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日</w:t>
      </w:r>
    </w:p>
    <w:p>
      <w:pPr>
        <w:pStyle w:val="70"/>
        <w:spacing w:after="240" w:afterLines="100"/>
        <w:jc w:val="center"/>
        <w:rPr>
          <w:rFonts w:hint="eastAsia" w:ascii="宋体" w:hAnsi="宋体"/>
          <w:b/>
          <w:color w:val="000000" w:themeColor="text1"/>
          <w:sz w:val="36"/>
          <w:szCs w:val="36"/>
          <w:highlight w:val="none"/>
          <w14:textFill>
            <w14:solidFill>
              <w14:schemeClr w14:val="tx1"/>
            </w14:solidFill>
          </w14:textFill>
        </w:rPr>
        <w:sectPr>
          <w:headerReference r:id="rId3" w:type="default"/>
          <w:pgSz w:w="11907" w:h="16840"/>
          <w:pgMar w:top="1440" w:right="1800" w:bottom="1440" w:left="1800" w:header="851" w:footer="992" w:gutter="0"/>
          <w:cols w:space="720" w:num="1"/>
          <w:docGrid w:linePitch="312" w:charSpace="0"/>
        </w:sectPr>
      </w:pPr>
    </w:p>
    <w:p>
      <w:pPr>
        <w:pStyle w:val="70"/>
        <w:spacing w:after="240" w:afterLines="100"/>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建设工程勘察、设计合同</w:t>
      </w:r>
    </w:p>
    <w:p>
      <w:pPr>
        <w:pStyle w:val="70"/>
        <w:rPr>
          <w:rFonts w:hint="eastAsia" w:ascii="宋体" w:hAnsi="宋体"/>
          <w:color w:val="000000" w:themeColor="text1"/>
          <w:szCs w:val="21"/>
          <w:highlight w:val="none"/>
          <w14:textFill>
            <w14:solidFill>
              <w14:schemeClr w14:val="tx1"/>
            </w14:solidFill>
          </w14:textFill>
        </w:rPr>
      </w:pPr>
    </w:p>
    <w:p>
      <w:pPr>
        <w:pStyle w:val="70"/>
        <w:spacing w:line="580" w:lineRule="exact"/>
        <w:ind w:left="1400" w:hanging="1400" w:hangingChars="5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工程名称：</w:t>
      </w:r>
      <w:r>
        <w:rPr>
          <w:rFonts w:hint="eastAsia" w:ascii="仿宋_GB2312" w:hAnsi="仿宋_GB2312" w:eastAsia="仿宋_GB2312" w:cs="仿宋_GB2312"/>
          <w:color w:val="000000" w:themeColor="text1"/>
          <w:spacing w:val="0"/>
          <w:w w:val="100"/>
          <w:sz w:val="28"/>
          <w:szCs w:val="28"/>
          <w:highlight w:val="none"/>
          <w:u w:val="single"/>
          <w:lang w:val="en-US" w:eastAsia="zh-CN"/>
          <w14:textFill>
            <w14:solidFill>
              <w14:schemeClr w14:val="tx1"/>
            </w14:solidFill>
          </w14:textFill>
        </w:rPr>
        <w:t>眉山天府新区2024年视高南拓新功能区配套主供水设施项目</w:t>
      </w:r>
    </w:p>
    <w:p>
      <w:pPr>
        <w:pStyle w:val="70"/>
        <w:spacing w:line="580" w:lineRule="exact"/>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工程地点：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眉山天府新区视高街道</w:t>
      </w:r>
    </w:p>
    <w:p>
      <w:pPr>
        <w:pStyle w:val="70"/>
        <w:spacing w:line="580" w:lineRule="exact"/>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眉山环天水务有限公司</w:t>
      </w:r>
    </w:p>
    <w:p>
      <w:pPr>
        <w:pStyle w:val="70"/>
        <w:spacing w:line="58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乙    </w:t>
      </w:r>
      <w:r>
        <w:rPr>
          <w:rFonts w:hint="eastAsia" w:ascii="仿宋_GB2312" w:hAnsi="仿宋_GB2312" w:eastAsia="仿宋_GB2312" w:cs="仿宋_GB2312"/>
          <w:color w:val="000000" w:themeColor="text1"/>
          <w:sz w:val="28"/>
          <w:szCs w:val="28"/>
          <w:highlight w:val="none"/>
          <w14:textFill>
            <w14:solidFill>
              <w14:schemeClr w14:val="tx1"/>
            </w14:solidFill>
          </w14:textFill>
        </w:rPr>
        <w:t>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pStyle w:val="70"/>
        <w:spacing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pStyle w:val="70"/>
        <w:spacing w:before="120" w:beforeLines="50" w:line="580" w:lineRule="exact"/>
        <w:ind w:firstLine="700" w:firstLineChars="2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委托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承担</w:t>
      </w:r>
      <w:r>
        <w:rPr>
          <w:rFonts w:hint="eastAsia" w:ascii="仿宋_GB2312" w:hAnsi="仿宋_GB2312" w:eastAsia="仿宋_GB2312" w:cs="仿宋_GB2312"/>
          <w:color w:val="000000" w:themeColor="text1"/>
          <w:spacing w:val="0"/>
          <w:w w:val="100"/>
          <w:sz w:val="28"/>
          <w:szCs w:val="28"/>
          <w:highlight w:val="none"/>
          <w:u w:val="single"/>
          <w:lang w:val="en-US" w:eastAsia="zh-CN"/>
          <w14:textFill>
            <w14:solidFill>
              <w14:schemeClr w14:val="tx1"/>
            </w14:solidFill>
          </w14:textFill>
        </w:rPr>
        <w:t>眉山天府新区2024年视高南拓新功能区配套主供水设施项目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工程勘察、设计</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含预算</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，工程地点为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眉山天府新区</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，经双方协商一致，签订本合同，共同执行。</w:t>
      </w:r>
    </w:p>
    <w:p>
      <w:pPr>
        <w:pStyle w:val="70"/>
        <w:widowControl/>
        <w:spacing w:before="120" w:beforeLines="50" w:line="580" w:lineRule="exact"/>
        <w:ind w:firstLine="0" w:firstLineChars="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本合同签订依据</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1.1</w:t>
      </w:r>
      <w:r>
        <w:rPr>
          <w:rFonts w:hint="eastAsia" w:ascii="仿宋_GB2312" w:hAnsi="仿宋_GB2312" w:eastAsia="仿宋_GB2312" w:cs="仿宋_GB2312"/>
          <w:color w:val="000000" w:themeColor="text1"/>
          <w:spacing w:val="-20"/>
          <w:kern w:val="0"/>
          <w:sz w:val="28"/>
          <w:szCs w:val="28"/>
          <w:highlight w:val="none"/>
          <w14:textFill>
            <w14:solidFill>
              <w14:schemeClr w14:val="tx1"/>
            </w14:solidFill>
          </w14:textFill>
        </w:rPr>
        <w:t>《中华人民共和国</w:t>
      </w:r>
      <w:r>
        <w:rPr>
          <w:rFonts w:hint="eastAsia" w:ascii="仿宋_GB2312" w:hAnsi="仿宋_GB2312" w:eastAsia="仿宋_GB2312" w:cs="仿宋_GB2312"/>
          <w:color w:val="000000" w:themeColor="text1"/>
          <w:spacing w:val="-20"/>
          <w:kern w:val="0"/>
          <w:sz w:val="28"/>
          <w:szCs w:val="28"/>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pacing w:val="-20"/>
          <w:kern w:val="0"/>
          <w:sz w:val="28"/>
          <w:szCs w:val="28"/>
          <w:highlight w:val="none"/>
          <w14:textFill>
            <w14:solidFill>
              <w14:schemeClr w14:val="tx1"/>
            </w14:solidFill>
          </w14:textFill>
        </w:rPr>
        <w:t>》、《中华人民共和国建筑法》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和《建设工程勘察、设计市场管理规定》。</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1.2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国家及地方有关建设工程勘察、设计管理法规和规章。</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1.3</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建设工程批准文件。</w:t>
      </w:r>
    </w:p>
    <w:p>
      <w:pPr>
        <w:pStyle w:val="70"/>
        <w:widowControl/>
        <w:spacing w:before="120" w:beforeLines="50" w:line="580" w:lineRule="exact"/>
        <w:ind w:firstLine="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第二条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勘察、设计依据</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2.1</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给</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的委托书或勘察、设计中标（选）文件</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2.2</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提交的基础资料</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2.3</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采用的主要技术标准是：国家现行行业标准和规范、项目所在地的地方标准。</w:t>
      </w:r>
    </w:p>
    <w:p>
      <w:pPr>
        <w:pStyle w:val="70"/>
        <w:widowControl/>
        <w:spacing w:before="120" w:beforeLines="50" w:line="580" w:lineRule="exact"/>
        <w:ind w:firstLine="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第三条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合同文件的优先次序</w:t>
      </w:r>
    </w:p>
    <w:p>
      <w:pPr>
        <w:pStyle w:val="70"/>
        <w:widowControl/>
        <w:spacing w:before="120" w:beforeLines="50" w:line="580" w:lineRule="exact"/>
        <w:ind w:firstLine="536" w:firstLineChars="200"/>
        <w:jc w:val="left"/>
        <w:rPr>
          <w:rFonts w:hint="eastAsia" w:ascii="仿宋_GB2312" w:hAnsi="仿宋_GB2312" w:eastAsia="仿宋_GB2312" w:cs="仿宋_GB2312"/>
          <w:color w:val="000000" w:themeColor="text1"/>
          <w:spacing w:val="-6"/>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6"/>
          <w:kern w:val="0"/>
          <w:sz w:val="28"/>
          <w:szCs w:val="28"/>
          <w:highlight w:val="none"/>
          <w14:textFill>
            <w14:solidFill>
              <w14:schemeClr w14:val="tx1"/>
            </w14:solidFill>
          </w14:textFill>
        </w:rPr>
        <w:t>构成本合同的文件可视为是能互相说明的，如果合同文件存在歧义或不一致，则根据如下优先次序来判断：</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3.1</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合同书</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3.2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中标（选）函（文件）</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3.3</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要求及委托书</w:t>
      </w:r>
    </w:p>
    <w:p>
      <w:pPr>
        <w:pStyle w:val="70"/>
        <w:widowControl/>
        <w:spacing w:before="120" w:beforeLines="50" w:line="580" w:lineRule="exact"/>
        <w:ind w:firstLine="551" w:firstLineChars="197"/>
        <w:jc w:val="left"/>
        <w:rPr>
          <w:rFonts w:hint="eastAsia" w:ascii="仿宋_GB2312" w:hAnsi="仿宋_GB2312" w:eastAsia="仿宋_GB2312" w:cs="仿宋_GB2312"/>
          <w:color w:val="000000" w:themeColor="text1"/>
          <w:spacing w:val="-22"/>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3.4</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招</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标文件</w:t>
      </w:r>
    </w:p>
    <w:p>
      <w:pPr>
        <w:pStyle w:val="69"/>
        <w:spacing w:before="120" w:beforeLines="50" w:line="580" w:lineRule="exact"/>
        <w:ind w:firstLine="551" w:firstLineChars="197"/>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bidi="ar-SA"/>
          <w14:textFill>
            <w14:solidFill>
              <w14:schemeClr w14:val="tx1"/>
            </w14:solidFill>
          </w14:textFill>
        </w:rPr>
        <w:t>3.5</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标文件</w:t>
      </w:r>
    </w:p>
    <w:p>
      <w:pPr>
        <w:pStyle w:val="69"/>
        <w:spacing w:before="120" w:beforeLines="50" w:line="580" w:lineRule="exact"/>
        <w:ind w:firstLine="0" w:firstLineChars="0"/>
        <w:rPr>
          <w:rFonts w:hint="eastAsia" w:ascii="仿宋_GB2312" w:hAnsi="仿宋_GB2312" w:eastAsia="仿宋_GB2312" w:cs="仿宋_GB2312"/>
          <w:b/>
          <w:color w:val="000000" w:themeColor="text1"/>
          <w:spacing w:val="-6"/>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 xml:space="preserve">第四条 </w:t>
      </w:r>
      <w:r>
        <w:rPr>
          <w:rFonts w:hint="eastAsia" w:ascii="仿宋_GB2312" w:hAnsi="仿宋_GB2312" w:eastAsia="仿宋_GB2312" w:cs="仿宋_GB2312"/>
          <w:b/>
          <w:bCs/>
          <w:color w:val="000000" w:themeColor="text1"/>
          <w:spacing w:val="-6"/>
          <w:sz w:val="28"/>
          <w:szCs w:val="28"/>
          <w:highlight w:val="none"/>
          <w14:textFill>
            <w14:solidFill>
              <w14:schemeClr w14:val="tx1"/>
            </w14:solidFill>
          </w14:textFill>
        </w:rPr>
        <w:t>本合同项目的</w:t>
      </w:r>
      <w:r>
        <w:rPr>
          <w:rFonts w:hint="eastAsia" w:ascii="仿宋_GB2312" w:hAnsi="仿宋_GB2312" w:eastAsia="仿宋_GB2312" w:cs="仿宋_GB2312"/>
          <w:b/>
          <w:bCs/>
          <w:color w:val="000000" w:themeColor="text1"/>
          <w:spacing w:val="-6"/>
          <w:sz w:val="28"/>
          <w:szCs w:val="28"/>
          <w:highlight w:val="none"/>
          <w:lang w:val="en-US" w:eastAsia="zh-CN"/>
          <w14:textFill>
            <w14:solidFill>
              <w14:schemeClr w14:val="tx1"/>
            </w14:solidFill>
          </w14:textFill>
        </w:rPr>
        <w:t>基本情况以及</w:t>
      </w:r>
      <w:r>
        <w:rPr>
          <w:rFonts w:hint="eastAsia" w:ascii="仿宋_GB2312" w:hAnsi="仿宋_GB2312" w:eastAsia="仿宋_GB2312" w:cs="仿宋_GB2312"/>
          <w:b/>
          <w:bCs/>
          <w:color w:val="000000" w:themeColor="text1"/>
          <w:spacing w:val="-6"/>
          <w:sz w:val="28"/>
          <w:szCs w:val="28"/>
          <w:highlight w:val="none"/>
          <w14:textFill>
            <w14:solidFill>
              <w14:schemeClr w14:val="tx1"/>
            </w14:solidFill>
          </w14:textFill>
        </w:rPr>
        <w:t>勘察、设计内容及成果提交时间</w:t>
      </w:r>
    </w:p>
    <w:p>
      <w:pPr>
        <w:pStyle w:val="70"/>
        <w:spacing w:before="120" w:beforeLines="50" w:line="580" w:lineRule="exact"/>
        <w:ind w:firstLine="560" w:firstLineChars="200"/>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项目名称</w:t>
      </w:r>
      <w:r>
        <w:rPr>
          <w:rFonts w:hint="eastAsia" w:ascii="仿宋_GB2312" w:hAnsi="仿宋_GB2312" w:eastAsia="仿宋_GB2312" w:cs="仿宋_GB2312"/>
          <w:color w:val="000000" w:themeColor="text1"/>
          <w:sz w:val="28"/>
          <w:szCs w:val="28"/>
          <w:highlight w:val="none"/>
          <w:u w:val="single"/>
          <w:lang w:val="zh-CN"/>
          <w14:textFill>
            <w14:solidFill>
              <w14:schemeClr w14:val="tx1"/>
            </w14:solidFill>
          </w14:textFill>
        </w:rPr>
        <w:t>：</w:t>
      </w:r>
      <w:r>
        <w:rPr>
          <w:rFonts w:hint="eastAsia" w:ascii="仿宋_GB2312" w:hAnsi="仿宋_GB2312" w:eastAsia="仿宋_GB2312" w:cs="仿宋_GB2312"/>
          <w:color w:val="000000" w:themeColor="text1"/>
          <w:spacing w:val="0"/>
          <w:w w:val="100"/>
          <w:sz w:val="28"/>
          <w:szCs w:val="28"/>
          <w:highlight w:val="none"/>
          <w:u w:val="single"/>
          <w:lang w:val="en-US" w:eastAsia="zh-CN"/>
          <w14:textFill>
            <w14:solidFill>
              <w14:schemeClr w14:val="tx1"/>
            </w14:solidFill>
          </w14:textFill>
        </w:rPr>
        <w:t>眉山天府新区2024年视高南拓新功能区配套主供水设施项目</w:t>
      </w:r>
    </w:p>
    <w:p>
      <w:pPr>
        <w:pStyle w:val="70"/>
        <w:spacing w:before="120" w:beforeLines="50" w:line="58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建设地点</w:t>
      </w:r>
      <w:r>
        <w:rPr>
          <w:rFonts w:hint="eastAsia" w:ascii="仿宋_GB2312" w:hAnsi="仿宋_GB2312" w:eastAsia="仿宋_GB2312" w:cs="仿宋_GB2312"/>
          <w:color w:val="000000" w:themeColor="text1"/>
          <w:sz w:val="28"/>
          <w:szCs w:val="28"/>
          <w:highlight w:val="none"/>
          <w:u w:val="singl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眉山天府新区视高街道</w:t>
      </w:r>
    </w:p>
    <w:p>
      <w:pPr>
        <w:pStyle w:val="70"/>
        <w:spacing w:before="120" w:beforeLines="50" w:line="580" w:lineRule="exact"/>
        <w:ind w:firstLine="560" w:firstLineChars="200"/>
        <w:rPr>
          <w:rFonts w:hint="default" w:ascii="仿宋_GB2312" w:hAnsi="仿宋_GB2312" w:eastAsia="仿宋_GB2312" w:cs="仿宋_GB2312"/>
          <w:color w:val="000000" w:themeColor="text1"/>
          <w:sz w:val="28"/>
          <w:szCs w:val="28"/>
          <w:highlight w:val="none"/>
          <w:u w:val="single"/>
          <w:lang w:val="en-US"/>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项目总投资</w:t>
      </w:r>
      <w:r>
        <w:rPr>
          <w:rFonts w:hint="eastAsia" w:ascii="仿宋_GB2312" w:hAnsi="仿宋_GB2312" w:eastAsia="仿宋_GB2312" w:cs="仿宋_GB2312"/>
          <w:color w:val="000000" w:themeColor="text1"/>
          <w:sz w:val="28"/>
          <w:szCs w:val="28"/>
          <w:highlight w:val="none"/>
          <w:u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994.82万元</w:t>
      </w:r>
    </w:p>
    <w:p>
      <w:pPr>
        <w:pStyle w:val="70"/>
        <w:spacing w:before="120" w:beforeLines="50" w:line="580" w:lineRule="exact"/>
        <w:ind w:firstLine="56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建设</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内容及</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规模</w:t>
      </w:r>
      <w:r>
        <w:rPr>
          <w:rFonts w:hint="eastAsia" w:ascii="仿宋_GB2312" w:hAnsi="仿宋_GB2312" w:eastAsia="仿宋_GB2312" w:cs="仿宋_GB2312"/>
          <w:color w:val="000000" w:themeColor="text1"/>
          <w:sz w:val="28"/>
          <w:szCs w:val="28"/>
          <w:highlight w:val="none"/>
          <w:u w:val="singl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主要建设内容为沿清水路自北向南至川港大道西沿线新建DN500给水管，长度约5千米，材质采用内外涂钢塑复合管，含阀门井、排气井、排泥井、预留支管、顶管、地上消防栓等供水配套设施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70"/>
        <w:spacing w:before="120" w:beforeLines="50" w:line="58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勘察服务包括但不限于以下工作内容：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建设规模所示的全部勘察、测绘工作（包含但不限于地质构造、地层结构、岩土工程特性等相关工作内容，并提供完整勘察报告、测地形图、并配合设计单位完成该工程必要工作），按甲方要求完成必要的勘察、测绘评审或审查工作，提供项目建设必须的勘察、测绘成果及提供后续服务等。</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pStyle w:val="70"/>
        <w:spacing w:before="120" w:beforeLines="50" w:line="580" w:lineRule="exact"/>
        <w:ind w:firstLine="560" w:firstLineChars="200"/>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设计服务包括但不限于以下工作内容：</w:t>
      </w:r>
      <w:r>
        <w:rPr>
          <w:rFonts w:hint="eastAsia" w:ascii="仿宋_GB2312" w:hAnsi="仿宋_GB2312" w:eastAsia="仿宋_GB2312" w:cs="仿宋_GB2312"/>
          <w:color w:val="000000" w:themeColor="text1"/>
          <w:sz w:val="28"/>
          <w:szCs w:val="28"/>
          <w:u w:val="single"/>
          <w14:textFill>
            <w14:solidFill>
              <w14:schemeClr w14:val="tx1"/>
            </w14:solidFill>
          </w14:textFill>
        </w:rPr>
        <w:t>方案设计、初步设计、施工图设计、专项方案和专项设计、施工图预算及招标控制价编制以及</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u w:val="single"/>
          <w14:textFill>
            <w14:solidFill>
              <w14:schemeClr w14:val="tx1"/>
            </w14:solidFill>
          </w14:textFill>
        </w:rPr>
        <w:t>控制价</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财评</w:t>
      </w:r>
      <w:r>
        <w:rPr>
          <w:rFonts w:hint="eastAsia" w:ascii="仿宋_GB2312" w:hAnsi="仿宋_GB2312" w:eastAsia="仿宋_GB2312" w:cs="仿宋_GB2312"/>
          <w:color w:val="000000" w:themeColor="text1"/>
          <w:sz w:val="28"/>
          <w:szCs w:val="28"/>
          <w:u w:val="single"/>
          <w14:textFill>
            <w14:solidFill>
              <w14:schemeClr w14:val="tx1"/>
            </w14:solidFill>
          </w14:textFill>
        </w:rPr>
        <w:t>后的招标工程量清单编制，按甲方要求提供各阶段符合要求的设计成果并通过审查，配合施工单位完成该工程必要工作，配合图审单位完成该项目相关图审工作；送审招标控制价编制应满足财政评审，招标工程量清单编制应满足招标要求；涉及到工作内容的相关评审费用由乙方承担。</w:t>
      </w:r>
    </w:p>
    <w:p>
      <w:pPr>
        <w:pStyle w:val="70"/>
        <w:spacing w:before="120" w:beforeLines="50" w:line="580" w:lineRule="exact"/>
        <w:ind w:left="0" w:leftChars="0" w:firstLine="560" w:firstLineChars="200"/>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成果提交时间：</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签订合同后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个日历天内（</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不包括各阶段的审批时间，</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具体成果及对应提交时限详见第六条。）</w:t>
      </w:r>
    </w:p>
    <w:p>
      <w:pPr>
        <w:pStyle w:val="70"/>
        <w:widowControl/>
        <w:numPr>
          <w:ilvl w:val="0"/>
          <w:numId w:val="0"/>
        </w:numPr>
        <w:spacing w:before="120" w:beforeLines="50" w:line="580" w:lineRule="exact"/>
        <w:ind w:firstLine="0" w:firstLineChars="0"/>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 xml:space="preserve">第五条 </w:t>
      </w: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向</w:t>
      </w: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提交的有关资料、文件及时间</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3738"/>
        <w:gridCol w:w="462"/>
        <w:gridCol w:w="3668"/>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8"/>
                <w:szCs w:val="28"/>
                <w:highlight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14:textFill>
                  <w14:solidFill>
                    <w14:schemeClr w14:val="tx1"/>
                  </w14:solidFill>
                </w14:textFill>
              </w:rPr>
              <w:t>序号</w:t>
            </w:r>
          </w:p>
        </w:tc>
        <w:tc>
          <w:tcPr>
            <w:tcW w:w="3738"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8"/>
                <w:szCs w:val="28"/>
                <w:highlight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14:textFill>
                  <w14:solidFill>
                    <w14:schemeClr w14:val="tx1"/>
                  </w14:solidFill>
                </w14:textFill>
              </w:rPr>
              <w:t>资料及文件名称</w:t>
            </w:r>
          </w:p>
        </w:tc>
        <w:tc>
          <w:tcPr>
            <w:tcW w:w="462"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8"/>
                <w:szCs w:val="28"/>
                <w:highlight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14:textFill>
                  <w14:solidFill>
                    <w14:schemeClr w14:val="tx1"/>
                  </w14:solidFill>
                </w14:textFill>
              </w:rPr>
              <w:t>份数</w:t>
            </w:r>
          </w:p>
        </w:tc>
        <w:tc>
          <w:tcPr>
            <w:tcW w:w="3668"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8"/>
                <w:szCs w:val="28"/>
                <w:highlight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14:textFill>
                  <w14:solidFill>
                    <w14:schemeClr w14:val="tx1"/>
                  </w14:solidFill>
                </w14:textFill>
              </w:rPr>
              <w:t>提交日期</w:t>
            </w:r>
          </w:p>
        </w:tc>
        <w:tc>
          <w:tcPr>
            <w:tcW w:w="844" w:type="dxa"/>
            <w:tcBorders>
              <w:top w:val="single" w:color="auto" w:sz="4" w:space="0"/>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color w:val="000000" w:themeColor="text1"/>
                <w:sz w:val="28"/>
                <w:szCs w:val="28"/>
                <w:highlight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14:textFill>
                  <w14:solidFill>
                    <w14:schemeClr w14:val="tx1"/>
                  </w14:solidFill>
                </w14:textFill>
              </w:rPr>
              <w:t>有关</w:t>
            </w:r>
          </w:p>
          <w:p>
            <w:pPr>
              <w:jc w:val="center"/>
              <w:rPr>
                <w:rFonts w:hint="default" w:ascii="仿宋_GB2312" w:hAnsi="仿宋_GB2312" w:eastAsia="仿宋_GB2312" w:cs="仿宋_GB2312"/>
                <w:color w:val="000000" w:themeColor="text1"/>
                <w:sz w:val="28"/>
                <w:szCs w:val="28"/>
                <w:highlight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14:textFill>
                  <w14:solidFill>
                    <w14:schemeClr w14:val="tx1"/>
                  </w14:solidFill>
                </w14:textFill>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81"/>
              <w:spacing w:afterLines="0"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3738"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上位规划、可研报告（如有）</w:t>
            </w:r>
          </w:p>
        </w:tc>
        <w:tc>
          <w:tcPr>
            <w:tcW w:w="462"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p>
        </w:tc>
        <w:tc>
          <w:tcPr>
            <w:tcW w:w="3668"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签订合同后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日历天内提交</w:t>
            </w:r>
          </w:p>
        </w:tc>
        <w:tc>
          <w:tcPr>
            <w:tcW w:w="844" w:type="dxa"/>
            <w:vMerge w:val="restart"/>
            <w:tcBorders>
              <w:top w:val="nil"/>
              <w:left w:val="nil"/>
              <w:right w:val="single" w:color="auto" w:sz="4" w:space="0"/>
            </w:tcBorders>
            <w:noWrap w:val="0"/>
            <w:vAlign w:val="center"/>
          </w:tcPr>
          <w:p>
            <w:pPr>
              <w:pStyle w:val="81"/>
              <w:spacing w:after="240"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81"/>
              <w:spacing w:afterLines="0"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3738"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控制点（如有）</w:t>
            </w:r>
          </w:p>
        </w:tc>
        <w:tc>
          <w:tcPr>
            <w:tcW w:w="462"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p>
        </w:tc>
        <w:tc>
          <w:tcPr>
            <w:tcW w:w="3668"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签订合同后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日历天内提交</w:t>
            </w:r>
          </w:p>
        </w:tc>
        <w:tc>
          <w:tcPr>
            <w:tcW w:w="844" w:type="dxa"/>
            <w:vMerge w:val="continue"/>
            <w:tcBorders>
              <w:left w:val="nil"/>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81"/>
              <w:spacing w:afterLines="0"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3738"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其他涉及该项目资料（如有）</w:t>
            </w:r>
          </w:p>
        </w:tc>
        <w:tc>
          <w:tcPr>
            <w:tcW w:w="462"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p>
        </w:tc>
        <w:tc>
          <w:tcPr>
            <w:tcW w:w="3668" w:type="dxa"/>
            <w:tcBorders>
              <w:top w:val="single" w:color="auto" w:sz="4" w:space="0"/>
              <w:left w:val="nil"/>
              <w:bottom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签订合同后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日历天内提交</w:t>
            </w:r>
          </w:p>
        </w:tc>
        <w:tc>
          <w:tcPr>
            <w:tcW w:w="844" w:type="dxa"/>
            <w:vMerge w:val="continue"/>
            <w:tcBorders>
              <w:left w:val="nil"/>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8353" w:type="dxa"/>
            <w:gridSpan w:val="4"/>
            <w:tcBorders>
              <w:top w:val="single" w:color="auto" w:sz="4" w:space="0"/>
              <w:left w:val="single" w:color="auto" w:sz="4" w:space="0"/>
              <w:right w:val="single" w:color="auto" w:sz="4" w:space="0"/>
            </w:tcBorders>
            <w:noWrap w:val="0"/>
            <w:vAlign w:val="center"/>
          </w:tcPr>
          <w:p>
            <w:pPr>
              <w:pStyle w:val="81"/>
              <w:spacing w:afterLines="0" w:line="360" w:lineRule="auto"/>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备注：除前述</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提供的约定资料外，发包方不负其他资料交付义务；乙方应按约定交付成果资料，不得以另需发包方提供相关资料而主张延迟交付。</w:t>
            </w:r>
          </w:p>
        </w:tc>
        <w:tc>
          <w:tcPr>
            <w:tcW w:w="844" w:type="dxa"/>
            <w:vMerge w:val="continue"/>
            <w:tcBorders>
              <w:left w:val="nil"/>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bl>
    <w:p>
      <w:pPr>
        <w:pStyle w:val="70"/>
        <w:widowControl/>
        <w:spacing w:before="120" w:beforeLines="50" w:line="580" w:lineRule="exact"/>
        <w:ind w:left="0" w:leftChars="0"/>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spacing w:val="-8"/>
          <w:kern w:val="0"/>
          <w:sz w:val="28"/>
          <w:szCs w:val="28"/>
          <w:highlight w:val="none"/>
          <w14:textFill>
            <w14:solidFill>
              <w14:schemeClr w14:val="tx1"/>
            </w14:solidFill>
          </w14:textFill>
        </w:rPr>
        <w:t xml:space="preserve">第六条 </w:t>
      </w:r>
      <w:r>
        <w:rPr>
          <w:rFonts w:hint="eastAsia" w:ascii="仿宋_GB2312" w:hAnsi="仿宋_GB2312" w:eastAsia="仿宋_GB2312" w:cs="仿宋_GB2312"/>
          <w:b/>
          <w:color w:val="000000" w:themeColor="text1"/>
          <w:spacing w:val="-8"/>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b/>
          <w:color w:val="000000" w:themeColor="text1"/>
          <w:spacing w:val="-8"/>
          <w:kern w:val="0"/>
          <w:sz w:val="28"/>
          <w:szCs w:val="28"/>
          <w:highlight w:val="none"/>
          <w14:textFill>
            <w14:solidFill>
              <w14:schemeClr w14:val="tx1"/>
            </w14:solidFill>
          </w14:textFill>
        </w:rPr>
        <w:t>向</w:t>
      </w:r>
      <w:r>
        <w:rPr>
          <w:rFonts w:hint="eastAsia" w:ascii="仿宋_GB2312" w:hAnsi="仿宋_GB2312" w:eastAsia="仿宋_GB2312" w:cs="仿宋_GB2312"/>
          <w:b/>
          <w:color w:val="000000" w:themeColor="text1"/>
          <w:spacing w:val="-8"/>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b/>
          <w:color w:val="000000" w:themeColor="text1"/>
          <w:spacing w:val="-8"/>
          <w:kern w:val="0"/>
          <w:sz w:val="28"/>
          <w:szCs w:val="28"/>
          <w:highlight w:val="none"/>
          <w14:textFill>
            <w14:solidFill>
              <w14:schemeClr w14:val="tx1"/>
            </w14:solidFill>
          </w14:textFill>
        </w:rPr>
        <w:t>交付的勘察、设计文件、份数、地点及时</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间</w:t>
      </w:r>
    </w:p>
    <w:tbl>
      <w:tblPr>
        <w:tblStyle w:val="2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3690"/>
        <w:gridCol w:w="442"/>
        <w:gridCol w:w="331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0"/>
              <w:spacing w:line="240" w:lineRule="auto"/>
              <w:jc w:val="cente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序号</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pStyle w:val="79"/>
              <w:spacing w:before="10" w:line="240" w:lineRule="auto"/>
              <w:ind w:left="773" w:leftChars="155" w:right="156" w:hanging="448" w:hangingChars="160"/>
              <w:jc w:val="left"/>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highlight w:val="none"/>
                <w:u w:val="none"/>
                <w14:textFill>
                  <w14:solidFill>
                    <w14:schemeClr w14:val="tx1"/>
                  </w14:solidFill>
                </w14:textFill>
              </w:rPr>
              <w:t>资料及文件名称</w:t>
            </w:r>
          </w:p>
        </w:tc>
        <w:tc>
          <w:tcPr>
            <w:tcW w:w="442"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36"/>
              <w:jc w:val="cente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28"/>
                <w:szCs w:val="28"/>
                <w:highlight w:val="none"/>
                <w:u w:val="none"/>
                <w14:textFill>
                  <w14:solidFill>
                    <w14:schemeClr w14:val="tx1"/>
                  </w14:solidFill>
                </w14:textFill>
              </w:rPr>
              <w:t>份数</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93"/>
              <w:jc w:val="center"/>
              <w:rPr>
                <w:rFonts w:hint="default" w:ascii="仿宋_GB2312" w:hAnsi="仿宋_GB2312" w:eastAsia="仿宋_GB2312" w:cs="仿宋_GB2312"/>
                <w:color w:val="000000" w:themeColor="text1"/>
                <w:sz w:val="28"/>
                <w:szCs w:val="28"/>
                <w:highlight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u w:val="none"/>
                <w14:textFill>
                  <w14:solidFill>
                    <w14:schemeClr w14:val="tx1"/>
                  </w14:solidFill>
                </w14:textFill>
              </w:rPr>
              <w:t>完成日期</w:t>
            </w:r>
          </w:p>
        </w:tc>
        <w:tc>
          <w:tcPr>
            <w:tcW w:w="1123" w:type="dxa"/>
            <w:tcBorders>
              <w:top w:val="single" w:color="auto" w:sz="4" w:space="0"/>
              <w:left w:val="single" w:color="auto" w:sz="4" w:space="0"/>
              <w:right w:val="single" w:color="auto" w:sz="4" w:space="0"/>
            </w:tcBorders>
            <w:noWrap w:val="0"/>
            <w:vAlign w:val="center"/>
          </w:tcPr>
          <w:p>
            <w:pPr>
              <w:spacing w:before="69" w:line="240" w:lineRule="auto"/>
              <w:jc w:val="center"/>
              <w:rPr>
                <w:rFonts w:hint="default" w:ascii="仿宋_GB2312" w:hAnsi="仿宋_GB2312" w:eastAsia="仿宋_GB2312" w:cs="仿宋_GB2312"/>
                <w:color w:val="000000" w:themeColor="text1"/>
                <w:sz w:val="28"/>
                <w:szCs w:val="28"/>
                <w:highlight w:val="none"/>
                <w:u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u w:val="none"/>
                <w14:textFill>
                  <w14:solidFill>
                    <w14:schemeClr w14:val="tx1"/>
                  </w14:solidFill>
                </w14:textFill>
              </w:rPr>
              <w:t>有关</w:t>
            </w:r>
          </w:p>
          <w:p>
            <w:pPr>
              <w:pStyle w:val="79"/>
              <w:spacing w:line="240" w:lineRule="auto"/>
              <w:jc w:val="center"/>
              <w:rPr>
                <w:rFonts w:hint="default" w:ascii="仿宋_GB2312" w:hAnsi="仿宋_GB2312" w:eastAsia="仿宋_GB2312" w:cs="仿宋_GB2312"/>
                <w:color w:val="000000" w:themeColor="text1"/>
                <w:sz w:val="28"/>
                <w:szCs w:val="28"/>
                <w:highlight w:val="none"/>
                <w14:textFill>
                  <w14:solidFill>
                    <w14:schemeClr w14:val="tx1"/>
                  </w14:solidFill>
                </w14:textFill>
              </w:rPr>
            </w:pPr>
            <w:r>
              <w:rPr>
                <w:rFonts w:hint="default" w:ascii="仿宋_GB2312" w:hAnsi="仿宋_GB2312" w:eastAsia="仿宋_GB2312" w:cs="仿宋_GB2312"/>
                <w:color w:val="000000" w:themeColor="text1"/>
                <w:sz w:val="28"/>
                <w:szCs w:val="28"/>
                <w:highlight w:val="none"/>
                <w:u w:val="none"/>
                <w14:textFill>
                  <w14:solidFill>
                    <w14:schemeClr w14:val="tx1"/>
                  </w14:solidFill>
                </w14:textFill>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0"/>
              <w:spacing w:line="240" w:lineRule="auto"/>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pStyle w:val="79"/>
              <w:spacing w:before="10" w:line="240" w:lineRule="auto"/>
              <w:ind w:left="0" w:leftChars="0" w:right="156" w:hanging="13" w:firstLineChars="0"/>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地形测绘报告、管探报告、</w:t>
            </w:r>
            <w:r>
              <w:rPr>
                <w:rFonts w:hint="eastAsia" w:ascii="仿宋_GB2312" w:hAnsi="仿宋_GB2312" w:eastAsia="仿宋_GB2312" w:cs="仿宋_GB2312"/>
                <w:color w:val="000000" w:themeColor="text1"/>
                <w:sz w:val="28"/>
                <w:szCs w:val="28"/>
                <w:highlight w:val="none"/>
                <w14:textFill>
                  <w14:solidFill>
                    <w14:schemeClr w14:val="tx1"/>
                  </w14:solidFill>
                </w14:textFill>
              </w:rPr>
              <w:t>勘察报告</w:t>
            </w:r>
          </w:p>
        </w:tc>
        <w:tc>
          <w:tcPr>
            <w:tcW w:w="442"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36"/>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319"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93"/>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合同签订后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个日历天内</w:t>
            </w:r>
          </w:p>
        </w:tc>
        <w:tc>
          <w:tcPr>
            <w:tcW w:w="1123" w:type="dxa"/>
            <w:vMerge w:val="restart"/>
            <w:tcBorders>
              <w:top w:val="single" w:color="auto" w:sz="4" w:space="0"/>
              <w:left w:val="single" w:color="auto" w:sz="4" w:space="0"/>
              <w:right w:val="single" w:color="auto" w:sz="4" w:space="0"/>
            </w:tcBorders>
            <w:noWrap w:val="0"/>
            <w:vAlign w:val="center"/>
          </w:tcPr>
          <w:p>
            <w:pPr>
              <w:pStyle w:val="79"/>
              <w:spacing w:line="240" w:lineRule="auto"/>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均含电子文档一套。前述电子文档包括但不限于PDF格式、图片格式、WORD格式、适量文件等格式及附属电子资料。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0"/>
              <w:spacing w:line="24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p>
        </w:tc>
        <w:tc>
          <w:tcPr>
            <w:tcW w:w="3690" w:type="dxa"/>
            <w:tcBorders>
              <w:top w:val="single" w:color="auto" w:sz="4" w:space="0"/>
              <w:left w:val="nil"/>
              <w:bottom w:val="single" w:color="auto" w:sz="4" w:space="0"/>
              <w:right w:val="single" w:color="auto" w:sz="4" w:space="0"/>
            </w:tcBorders>
            <w:noWrap w:val="0"/>
            <w:vAlign w:val="center"/>
          </w:tcPr>
          <w:p>
            <w:pPr>
              <w:pStyle w:val="79"/>
              <w:spacing w:before="10" w:line="240" w:lineRule="auto"/>
              <w:ind w:right="156"/>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方案设计</w:t>
            </w:r>
          </w:p>
        </w:tc>
        <w:tc>
          <w:tcPr>
            <w:tcW w:w="442" w:type="dxa"/>
            <w:tcBorders>
              <w:top w:val="single" w:color="auto" w:sz="4" w:space="0"/>
              <w:left w:val="nil"/>
              <w:bottom w:val="single" w:color="auto" w:sz="4" w:space="0"/>
              <w:right w:val="single" w:color="auto" w:sz="4" w:space="0"/>
            </w:tcBorders>
            <w:noWrap w:val="0"/>
            <w:vAlign w:val="center"/>
          </w:tcPr>
          <w:p>
            <w:pPr>
              <w:pStyle w:val="79"/>
              <w:spacing w:line="240" w:lineRule="auto"/>
              <w:ind w:left="36"/>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319" w:type="dxa"/>
            <w:tcBorders>
              <w:top w:val="single" w:color="auto" w:sz="4" w:space="0"/>
              <w:left w:val="nil"/>
              <w:bottom w:val="single" w:color="auto" w:sz="4" w:space="0"/>
              <w:right w:val="single" w:color="auto" w:sz="4" w:space="0"/>
            </w:tcBorders>
            <w:noWrap w:val="0"/>
            <w:vAlign w:val="center"/>
          </w:tcPr>
          <w:p>
            <w:pPr>
              <w:pStyle w:val="79"/>
              <w:spacing w:line="240" w:lineRule="auto"/>
              <w:ind w:left="98"/>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合同签订后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14</w:t>
            </w:r>
            <w:r>
              <w:rPr>
                <w:rFonts w:hint="eastAsia" w:ascii="仿宋_GB2312" w:hAnsi="仿宋_GB2312" w:eastAsia="仿宋_GB2312" w:cs="仿宋_GB2312"/>
                <w:color w:val="000000" w:themeColor="text1"/>
                <w:sz w:val="28"/>
                <w:szCs w:val="28"/>
                <w:highlight w:val="none"/>
                <w14:textFill>
                  <w14:solidFill>
                    <w14:schemeClr w14:val="tx1"/>
                  </w14:solidFill>
                </w14:textFill>
              </w:rPr>
              <w:t>个日历天内</w:t>
            </w:r>
          </w:p>
        </w:tc>
        <w:tc>
          <w:tcPr>
            <w:tcW w:w="1123" w:type="dxa"/>
            <w:vMerge w:val="continue"/>
            <w:tcBorders>
              <w:left w:val="single" w:color="auto" w:sz="4" w:space="0"/>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0"/>
              <w:spacing w:line="240" w:lineRule="auto"/>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p>
        </w:tc>
        <w:tc>
          <w:tcPr>
            <w:tcW w:w="3690" w:type="dxa"/>
            <w:tcBorders>
              <w:top w:val="single" w:color="auto" w:sz="4" w:space="0"/>
              <w:left w:val="nil"/>
              <w:bottom w:val="single" w:color="auto" w:sz="4" w:space="0"/>
              <w:right w:val="single" w:color="auto" w:sz="4" w:space="0"/>
            </w:tcBorders>
            <w:noWrap w:val="0"/>
            <w:vAlign w:val="center"/>
          </w:tcPr>
          <w:p>
            <w:pPr>
              <w:pStyle w:val="79"/>
              <w:spacing w:before="10" w:line="240" w:lineRule="auto"/>
              <w:ind w:right="156" w:rightChars="0"/>
              <w:jc w:val="left"/>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初步设计</w:t>
            </w:r>
            <w:bookmarkStart w:id="1" w:name="_GoBack"/>
            <w:bookmarkEnd w:id="1"/>
          </w:p>
        </w:tc>
        <w:tc>
          <w:tcPr>
            <w:tcW w:w="442" w:type="dxa"/>
            <w:tcBorders>
              <w:top w:val="single" w:color="auto" w:sz="4" w:space="0"/>
              <w:left w:val="nil"/>
              <w:bottom w:val="single" w:color="auto" w:sz="4" w:space="0"/>
              <w:right w:val="single" w:color="auto" w:sz="4" w:space="0"/>
            </w:tcBorders>
            <w:noWrap w:val="0"/>
            <w:vAlign w:val="center"/>
          </w:tcPr>
          <w:p>
            <w:pPr>
              <w:pStyle w:val="79"/>
              <w:spacing w:line="240" w:lineRule="auto"/>
              <w:ind w:left="36" w:leftChars="0"/>
              <w:jc w:val="cente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319" w:type="dxa"/>
            <w:tcBorders>
              <w:top w:val="single" w:color="auto" w:sz="4" w:space="0"/>
              <w:left w:val="nil"/>
              <w:bottom w:val="single" w:color="auto" w:sz="4" w:space="0"/>
              <w:right w:val="single" w:color="auto" w:sz="4" w:space="0"/>
            </w:tcBorders>
            <w:noWrap w:val="0"/>
            <w:vAlign w:val="center"/>
          </w:tcPr>
          <w:p>
            <w:pPr>
              <w:pStyle w:val="79"/>
              <w:spacing w:line="240" w:lineRule="auto"/>
              <w:ind w:left="98" w:leftChars="0"/>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地勘报告出具后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个日历天内</w:t>
            </w:r>
          </w:p>
        </w:tc>
        <w:tc>
          <w:tcPr>
            <w:tcW w:w="1123" w:type="dxa"/>
            <w:vMerge w:val="continue"/>
            <w:tcBorders>
              <w:left w:val="single" w:color="auto" w:sz="4" w:space="0"/>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77"/>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p>
        </w:tc>
        <w:tc>
          <w:tcPr>
            <w:tcW w:w="3690" w:type="dxa"/>
            <w:tcBorders>
              <w:top w:val="single" w:color="auto" w:sz="4" w:space="0"/>
              <w:left w:val="nil"/>
              <w:bottom w:val="single" w:color="auto" w:sz="4" w:space="0"/>
              <w:right w:val="single" w:color="auto" w:sz="4" w:space="0"/>
            </w:tcBorders>
            <w:noWrap w:val="0"/>
            <w:vAlign w:val="center"/>
          </w:tcPr>
          <w:p>
            <w:pPr>
              <w:pStyle w:val="79"/>
              <w:spacing w:before="10" w:line="240" w:lineRule="auto"/>
              <w:ind w:right="156" w:rightChars="0"/>
              <w:jc w:val="left"/>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设计概算</w:t>
            </w:r>
          </w:p>
        </w:tc>
        <w:tc>
          <w:tcPr>
            <w:tcW w:w="442" w:type="dxa"/>
            <w:tcBorders>
              <w:top w:val="single" w:color="auto" w:sz="4" w:space="0"/>
              <w:left w:val="nil"/>
              <w:bottom w:val="single" w:color="auto" w:sz="4" w:space="0"/>
              <w:right w:val="single" w:color="auto" w:sz="4" w:space="0"/>
            </w:tcBorders>
            <w:noWrap w:val="0"/>
            <w:vAlign w:val="center"/>
          </w:tcPr>
          <w:p>
            <w:pPr>
              <w:pStyle w:val="79"/>
              <w:spacing w:line="240" w:lineRule="auto"/>
              <w:ind w:left="36" w:leftChars="0"/>
              <w:jc w:val="cente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319" w:type="dxa"/>
            <w:tcBorders>
              <w:top w:val="single" w:color="auto" w:sz="4" w:space="0"/>
              <w:left w:val="nil"/>
              <w:bottom w:val="single" w:color="auto" w:sz="4" w:space="0"/>
              <w:right w:val="single" w:color="auto" w:sz="4" w:space="0"/>
            </w:tcBorders>
            <w:noWrap w:val="0"/>
            <w:vAlign w:val="center"/>
          </w:tcPr>
          <w:p>
            <w:pPr>
              <w:pStyle w:val="79"/>
              <w:spacing w:line="240" w:lineRule="auto"/>
              <w:ind w:left="98" w:leftChars="0"/>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与初步设计同步提供</w:t>
            </w:r>
          </w:p>
        </w:tc>
        <w:tc>
          <w:tcPr>
            <w:tcW w:w="1123" w:type="dxa"/>
            <w:vMerge w:val="continue"/>
            <w:tcBorders>
              <w:left w:val="single" w:color="auto" w:sz="4" w:space="0"/>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77"/>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p>
        </w:tc>
        <w:tc>
          <w:tcPr>
            <w:tcW w:w="3690" w:type="dxa"/>
            <w:tcBorders>
              <w:top w:val="single" w:color="auto" w:sz="4" w:space="0"/>
              <w:left w:val="nil"/>
              <w:bottom w:val="single" w:color="auto" w:sz="4" w:space="0"/>
              <w:right w:val="single" w:color="auto" w:sz="4" w:space="0"/>
            </w:tcBorders>
            <w:noWrap w:val="0"/>
            <w:vAlign w:val="center"/>
          </w:tcPr>
          <w:p>
            <w:pPr>
              <w:pStyle w:val="79"/>
              <w:spacing w:line="240" w:lineRule="auto"/>
              <w:jc w:val="left"/>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施工图</w:t>
            </w:r>
          </w:p>
        </w:tc>
        <w:tc>
          <w:tcPr>
            <w:tcW w:w="442" w:type="dxa"/>
            <w:tcBorders>
              <w:top w:val="single" w:color="auto" w:sz="4" w:space="0"/>
              <w:left w:val="nil"/>
              <w:bottom w:val="single" w:color="auto" w:sz="4" w:space="0"/>
              <w:right w:val="single" w:color="auto" w:sz="4" w:space="0"/>
            </w:tcBorders>
            <w:noWrap w:val="0"/>
            <w:vAlign w:val="center"/>
          </w:tcPr>
          <w:p>
            <w:pPr>
              <w:pStyle w:val="79"/>
              <w:spacing w:line="240" w:lineRule="auto"/>
              <w:ind w:left="42" w:leftChars="0"/>
              <w:jc w:val="cente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319" w:type="dxa"/>
            <w:tcBorders>
              <w:top w:val="single" w:color="auto" w:sz="4" w:space="0"/>
              <w:left w:val="nil"/>
              <w:bottom w:val="single" w:color="auto" w:sz="4" w:space="0"/>
              <w:right w:val="single" w:color="auto" w:sz="4" w:space="0"/>
            </w:tcBorders>
            <w:noWrap w:val="0"/>
            <w:vAlign w:val="center"/>
          </w:tcPr>
          <w:p>
            <w:pPr>
              <w:pStyle w:val="79"/>
              <w:spacing w:line="240" w:lineRule="auto"/>
              <w:ind w:left="98" w:leftChars="0"/>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初设批复后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个日历天内</w:t>
            </w:r>
          </w:p>
        </w:tc>
        <w:tc>
          <w:tcPr>
            <w:tcW w:w="1123" w:type="dxa"/>
            <w:vMerge w:val="continue"/>
            <w:tcBorders>
              <w:left w:val="single" w:color="auto" w:sz="4" w:space="0"/>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93"/>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p>
        </w:tc>
        <w:tc>
          <w:tcPr>
            <w:tcW w:w="3690" w:type="dxa"/>
            <w:tcBorders>
              <w:top w:val="single" w:color="auto" w:sz="4" w:space="0"/>
              <w:left w:val="nil"/>
              <w:bottom w:val="single" w:color="auto" w:sz="4" w:space="0"/>
              <w:right w:val="single" w:color="auto" w:sz="4" w:space="0"/>
            </w:tcBorders>
            <w:noWrap w:val="0"/>
            <w:vAlign w:val="center"/>
          </w:tcPr>
          <w:p>
            <w:pPr>
              <w:pStyle w:val="79"/>
              <w:spacing w:line="240" w:lineRule="auto"/>
              <w:jc w:val="left"/>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施工图预算</w:t>
            </w:r>
          </w:p>
        </w:tc>
        <w:tc>
          <w:tcPr>
            <w:tcW w:w="442" w:type="dxa"/>
            <w:tcBorders>
              <w:top w:val="single" w:color="auto" w:sz="4" w:space="0"/>
              <w:left w:val="nil"/>
              <w:bottom w:val="single" w:color="auto" w:sz="4" w:space="0"/>
              <w:right w:val="single" w:color="auto" w:sz="4" w:space="0"/>
            </w:tcBorders>
            <w:noWrap w:val="0"/>
            <w:vAlign w:val="center"/>
          </w:tcPr>
          <w:p>
            <w:pPr>
              <w:pStyle w:val="79"/>
              <w:spacing w:line="240" w:lineRule="auto"/>
              <w:ind w:left="42" w:leftChars="0"/>
              <w:jc w:val="cente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319" w:type="dxa"/>
            <w:tcBorders>
              <w:top w:val="single" w:color="auto" w:sz="4" w:space="0"/>
              <w:left w:val="nil"/>
              <w:bottom w:val="single" w:color="auto" w:sz="4" w:space="0"/>
              <w:right w:val="single" w:color="auto" w:sz="4" w:space="0"/>
            </w:tcBorders>
            <w:noWrap w:val="0"/>
            <w:vAlign w:val="center"/>
          </w:tcPr>
          <w:p>
            <w:pPr>
              <w:pStyle w:val="79"/>
              <w:spacing w:line="240" w:lineRule="auto"/>
              <w:ind w:left="98" w:leftChars="0"/>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施工图经审查合格后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个日历天内</w:t>
            </w:r>
          </w:p>
        </w:tc>
        <w:tc>
          <w:tcPr>
            <w:tcW w:w="1123" w:type="dxa"/>
            <w:vMerge w:val="continue"/>
            <w:tcBorders>
              <w:left w:val="single" w:color="auto" w:sz="4" w:space="0"/>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93"/>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p>
        </w:tc>
        <w:tc>
          <w:tcPr>
            <w:tcW w:w="3690" w:type="dxa"/>
            <w:tcBorders>
              <w:top w:val="single" w:color="auto" w:sz="4" w:space="0"/>
              <w:left w:val="nil"/>
              <w:bottom w:val="single" w:color="auto" w:sz="4" w:space="0"/>
              <w:right w:val="single" w:color="auto" w:sz="4" w:space="0"/>
            </w:tcBorders>
            <w:noWrap w:val="0"/>
            <w:vAlign w:val="center"/>
          </w:tcPr>
          <w:p>
            <w:pPr>
              <w:pStyle w:val="79"/>
              <w:spacing w:line="240" w:lineRule="auto"/>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符合招标要求的招标工程量清单及相关资料（如需要）</w:t>
            </w:r>
          </w:p>
        </w:tc>
        <w:tc>
          <w:tcPr>
            <w:tcW w:w="442" w:type="dxa"/>
            <w:tcBorders>
              <w:top w:val="single" w:color="auto" w:sz="4" w:space="0"/>
              <w:left w:val="nil"/>
              <w:bottom w:val="single" w:color="auto" w:sz="4" w:space="0"/>
              <w:right w:val="single" w:color="auto" w:sz="4" w:space="0"/>
            </w:tcBorders>
            <w:noWrap w:val="0"/>
            <w:vAlign w:val="center"/>
          </w:tcPr>
          <w:p>
            <w:pPr>
              <w:pStyle w:val="79"/>
              <w:spacing w:line="240" w:lineRule="auto"/>
              <w:ind w:left="47"/>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319" w:type="dxa"/>
            <w:tcBorders>
              <w:top w:val="single" w:color="auto" w:sz="4" w:space="0"/>
              <w:left w:val="nil"/>
              <w:bottom w:val="single" w:color="auto" w:sz="4" w:space="0"/>
              <w:right w:val="single" w:color="auto" w:sz="4" w:space="0"/>
            </w:tcBorders>
            <w:noWrap w:val="0"/>
            <w:vAlign w:val="center"/>
          </w:tcPr>
          <w:p>
            <w:pPr>
              <w:pStyle w:val="79"/>
              <w:spacing w:before="51" w:line="240" w:lineRule="auto"/>
              <w:ind w:left="98" w:right="10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取得财评报告后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个日历天内</w:t>
            </w:r>
          </w:p>
        </w:tc>
        <w:tc>
          <w:tcPr>
            <w:tcW w:w="1123" w:type="dxa"/>
            <w:vMerge w:val="continue"/>
            <w:tcBorders>
              <w:left w:val="single" w:color="auto" w:sz="4" w:space="0"/>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483" w:type="dxa"/>
            <w:tcBorders>
              <w:top w:val="single" w:color="auto" w:sz="4" w:space="0"/>
              <w:left w:val="single" w:color="auto" w:sz="4" w:space="0"/>
              <w:bottom w:val="single" w:color="auto" w:sz="4" w:space="0"/>
              <w:right w:val="single" w:color="auto" w:sz="4" w:space="0"/>
            </w:tcBorders>
            <w:noWrap w:val="0"/>
            <w:vAlign w:val="center"/>
          </w:tcPr>
          <w:p>
            <w:pPr>
              <w:pStyle w:val="79"/>
              <w:spacing w:line="240" w:lineRule="auto"/>
              <w:ind w:left="93"/>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p>
        </w:tc>
        <w:tc>
          <w:tcPr>
            <w:tcW w:w="3690" w:type="dxa"/>
            <w:tcBorders>
              <w:top w:val="single" w:color="auto" w:sz="4" w:space="0"/>
              <w:left w:val="nil"/>
              <w:bottom w:val="single" w:color="auto" w:sz="4" w:space="0"/>
              <w:right w:val="single" w:color="auto" w:sz="4" w:space="0"/>
            </w:tcBorders>
            <w:noWrap w:val="0"/>
            <w:vAlign w:val="center"/>
          </w:tcPr>
          <w:p>
            <w:pPr>
              <w:pStyle w:val="79"/>
              <w:spacing w:line="240" w:lineRule="auto"/>
              <w:jc w:val="left"/>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其他文件、资料</w:t>
            </w:r>
          </w:p>
        </w:tc>
        <w:tc>
          <w:tcPr>
            <w:tcW w:w="442" w:type="dxa"/>
            <w:tcBorders>
              <w:top w:val="single" w:color="auto" w:sz="4" w:space="0"/>
              <w:left w:val="nil"/>
              <w:bottom w:val="single" w:color="auto" w:sz="4" w:space="0"/>
              <w:right w:val="single" w:color="auto" w:sz="4" w:space="0"/>
            </w:tcBorders>
            <w:noWrap w:val="0"/>
            <w:vAlign w:val="center"/>
          </w:tcPr>
          <w:p>
            <w:pPr>
              <w:pStyle w:val="79"/>
              <w:spacing w:line="240" w:lineRule="auto"/>
              <w:ind w:left="47" w:leftChars="0"/>
              <w:jc w:val="cente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8</w:t>
            </w:r>
          </w:p>
        </w:tc>
        <w:tc>
          <w:tcPr>
            <w:tcW w:w="3319" w:type="dxa"/>
            <w:tcBorders>
              <w:top w:val="single" w:color="auto" w:sz="4" w:space="0"/>
              <w:left w:val="nil"/>
              <w:bottom w:val="single" w:color="auto" w:sz="4" w:space="0"/>
              <w:right w:val="single" w:color="auto" w:sz="4" w:space="0"/>
            </w:tcBorders>
            <w:noWrap w:val="0"/>
            <w:vAlign w:val="center"/>
          </w:tcPr>
          <w:p>
            <w:pPr>
              <w:pStyle w:val="79"/>
              <w:spacing w:before="51" w:line="240" w:lineRule="auto"/>
              <w:ind w:left="98" w:leftChars="0" w:right="105" w:rightChars="0"/>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根据招标文件要求</w:t>
            </w:r>
          </w:p>
        </w:tc>
        <w:tc>
          <w:tcPr>
            <w:tcW w:w="1123" w:type="dxa"/>
            <w:vMerge w:val="continue"/>
            <w:tcBorders>
              <w:left w:val="single" w:color="auto" w:sz="4" w:space="0"/>
              <w:bottom w:val="single" w:color="auto" w:sz="4" w:space="0"/>
              <w:right w:val="single" w:color="auto" w:sz="4" w:space="0"/>
            </w:tcBorders>
            <w:noWrap w:val="0"/>
            <w:vAlign w:val="center"/>
          </w:tcPr>
          <w:p>
            <w:pPr>
              <w:pStyle w:val="70"/>
              <w:widowControl/>
              <w:spacing w:line="360" w:lineRule="auto"/>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bl>
    <w:p>
      <w:pPr>
        <w:pStyle w:val="70"/>
        <w:numPr>
          <w:ilvl w:val="0"/>
          <w:numId w:val="1"/>
        </w:numPr>
        <w:spacing w:before="120" w:beforeLines="50" w:line="580" w:lineRule="exact"/>
        <w:ind w:firstLine="0" w:firstLineChars="0"/>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后续服务</w:t>
      </w:r>
    </w:p>
    <w:p>
      <w:pPr>
        <w:pStyle w:val="70"/>
        <w:numPr>
          <w:ilvl w:val="0"/>
          <w:numId w:val="0"/>
        </w:numPr>
        <w:spacing w:before="120" w:beforeLines="50" w:line="580" w:lineRule="exact"/>
        <w:ind w:firstLine="560" w:firstLineChars="200"/>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t>交付勘察设计文件后，按规定参加有关上级部门组织的</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方案审查、</w:t>
      </w:r>
      <w:r>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t>勘察、设计审查、施工图预算</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审查</w:t>
      </w:r>
      <w:r>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t>、设计变更等相关后续工作，并根据审查结论及时修改完善。满足工程项目管理和工程建设的相关要求。</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同时应配合设计、施工全过程实施，参与工程新增、变更处理以及各类验收等所有后续工作，至该工程质保期届满后。</w:t>
      </w:r>
      <w:r>
        <w:rPr>
          <w:rFonts w:hint="eastAsia" w:ascii="仿宋_GB2312" w:hAnsi="仿宋_GB2312" w:eastAsia="仿宋_GB2312" w:cs="仿宋_GB2312"/>
          <w:bCs/>
          <w:color w:val="000000" w:themeColor="text1"/>
          <w:spacing w:val="24"/>
          <w:kern w:val="0"/>
          <w:sz w:val="28"/>
          <w:szCs w:val="28"/>
          <w:highlight w:val="none"/>
          <w14:textFill>
            <w14:solidFill>
              <w14:schemeClr w14:val="tx1"/>
            </w14:solidFill>
          </w14:textFill>
        </w:rPr>
        <w:t xml:space="preserve"> </w:t>
      </w:r>
    </w:p>
    <w:p>
      <w:pPr>
        <w:pStyle w:val="70"/>
        <w:widowControl/>
        <w:spacing w:before="120" w:beforeLines="50" w:line="580" w:lineRule="exact"/>
        <w:ind w:firstLine="0" w:firstLineChars="0"/>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第八条</w:t>
      </w: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费用</w:t>
      </w:r>
    </w:p>
    <w:p>
      <w:pPr>
        <w:pStyle w:val="70"/>
        <w:numPr>
          <w:ilvl w:val="0"/>
          <w:numId w:val="0"/>
        </w:numPr>
        <w:spacing w:before="120" w:beforeLines="50" w:line="580" w:lineRule="exact"/>
        <w:ind w:firstLine="560" w:firstLineChars="200"/>
        <w:rPr>
          <w:rFonts w:hint="eastAsia" w:ascii="仿宋_GB2312" w:hAnsi="仿宋_GB2312" w:eastAsia="仿宋_GB2312" w:cs="仿宋_GB2312"/>
          <w:b w:val="0"/>
          <w:bCs w:val="0"/>
          <w:color w:val="000000" w:themeColor="text1"/>
          <w:spacing w:val="0"/>
          <w:kern w:val="0"/>
          <w:sz w:val="28"/>
          <w:szCs w:val="2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28"/>
          <w:szCs w:val="28"/>
          <w:highlight w:val="none"/>
          <w:u w:val="none"/>
          <w14:textFill>
            <w14:solidFill>
              <w14:schemeClr w14:val="tx1"/>
            </w14:solidFill>
          </w14:textFill>
        </w:rPr>
        <w:t>本合同的勘察、设计费为</w:t>
      </w:r>
      <w:r>
        <w:rPr>
          <w:rFonts w:hint="eastAsia" w:ascii="仿宋_GB2312" w:hAnsi="仿宋_GB2312" w:eastAsia="仿宋_GB2312" w:cs="仿宋_GB2312"/>
          <w:b w:val="0"/>
          <w:bCs w:val="0"/>
          <w:color w:val="000000" w:themeColor="text1"/>
          <w:spacing w:val="0"/>
          <w:kern w:val="0"/>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u w:val="none"/>
          <w14:textFill>
            <w14:solidFill>
              <w14:schemeClr w14:val="tx1"/>
            </w14:solidFill>
          </w14:textFill>
        </w:rPr>
        <w:t>元（大写：</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u w:val="none"/>
          <w14:textFill>
            <w14:solidFill>
              <w14:schemeClr w14:val="tx1"/>
            </w14:solidFill>
          </w14:textFill>
        </w:rPr>
        <w:t>元整）含税</w:t>
      </w:r>
      <w:r>
        <w:rPr>
          <w:rFonts w:hint="eastAsia" w:ascii="仿宋_GB2312" w:hAnsi="仿宋_GB2312" w:eastAsia="仿宋_GB2312" w:cs="仿宋_GB2312"/>
          <w:b w:val="0"/>
          <w:bCs w:val="0"/>
          <w:color w:val="000000" w:themeColor="text1"/>
          <w:kern w:val="0"/>
          <w:sz w:val="28"/>
          <w:szCs w:val="28"/>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highlight w:val="none"/>
          <w:u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kern w:val="0"/>
          <w:sz w:val="28"/>
          <w:szCs w:val="28"/>
          <w:highlight w:val="none"/>
          <w:u w:val="none"/>
          <w14:textFill>
            <w14:solidFill>
              <w14:schemeClr w14:val="tx1"/>
            </w14:solidFill>
          </w14:textFill>
        </w:rPr>
        <w:t>，包干使用。</w:t>
      </w:r>
      <w:r>
        <w:rPr>
          <w:rFonts w:hint="eastAsia" w:ascii="仿宋_GB2312" w:hAnsi="仿宋_GB2312" w:eastAsia="仿宋_GB2312" w:cs="仿宋_GB2312"/>
          <w:b w:val="0"/>
          <w:bCs w:val="0"/>
          <w:color w:val="000000" w:themeColor="text1"/>
          <w:kern w:val="0"/>
          <w:sz w:val="28"/>
          <w:szCs w:val="28"/>
          <w:highlight w:val="none"/>
          <w:u w:val="none"/>
          <w:lang w:val="en-US" w:eastAsia="zh-CN"/>
          <w14:textFill>
            <w14:solidFill>
              <w14:schemeClr w14:val="tx1"/>
            </w14:solidFill>
          </w14:textFill>
        </w:rPr>
        <w:t>其中，不含税价款为</w:t>
      </w:r>
      <w:r>
        <w:rPr>
          <w:rFonts w:hint="eastAsia" w:ascii="仿宋_GB2312" w:hAnsi="仿宋_GB2312" w:eastAsia="仿宋_GB2312" w:cs="仿宋_GB2312"/>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u w:val="none"/>
          <w:lang w:val="en-US" w:eastAsia="zh-CN"/>
          <w14:textFill>
            <w14:solidFill>
              <w14:schemeClr w14:val="tx1"/>
            </w14:solidFill>
          </w14:textFill>
        </w:rPr>
        <w:t>元，增值税税金为</w:t>
      </w:r>
      <w:r>
        <w:rPr>
          <w:rFonts w:hint="eastAsia" w:ascii="仿宋_GB2312" w:hAnsi="仿宋_GB2312" w:eastAsia="仿宋_GB2312" w:cs="仿宋_GB2312"/>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u w:val="none"/>
          <w:lang w:val="en-US" w:eastAsia="zh-CN"/>
          <w14:textFill>
            <w14:solidFill>
              <w14:schemeClr w14:val="tx1"/>
            </w14:solidFill>
          </w14:textFill>
        </w:rPr>
        <w:t>元。</w:t>
      </w:r>
      <w:r>
        <w:rPr>
          <w:rFonts w:hint="eastAsia" w:ascii="仿宋_GB2312" w:hAnsi="仿宋_GB2312" w:eastAsia="仿宋_GB2312" w:cs="仿宋_GB2312"/>
          <w:b/>
          <w:bCs/>
          <w:color w:val="000000" w:themeColor="text1"/>
          <w:spacing w:val="24"/>
          <w:kern w:val="0"/>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pacing w:val="24"/>
          <w:kern w:val="0"/>
          <w:sz w:val="28"/>
          <w:szCs w:val="28"/>
          <w:highlight w:val="none"/>
          <w:lang w:eastAsia="zh-CN"/>
          <w14:textFill>
            <w14:solidFill>
              <w14:schemeClr w14:val="tx1"/>
            </w14:solidFill>
          </w14:textFill>
        </w:rPr>
        <w:t>不含税价款不因国家税率变化而变化，若在合同履行期间，遇国家法定税率调整的，最终实际付款金额为不含税金额与所提供的增值税专用发票的税金金额之和。）</w:t>
      </w:r>
      <w:r>
        <w:rPr>
          <w:rFonts w:hint="eastAsia" w:ascii="仿宋_GB2312" w:hAnsi="仿宋_GB2312" w:eastAsia="仿宋_GB2312" w:cs="仿宋_GB2312"/>
          <w:b w:val="0"/>
          <w:bCs w:val="0"/>
          <w:color w:val="000000" w:themeColor="text1"/>
          <w:spacing w:val="0"/>
          <w:kern w:val="0"/>
          <w:sz w:val="28"/>
          <w:szCs w:val="28"/>
          <w:highlight w:val="none"/>
          <w:u w:val="none"/>
          <w14:textFill>
            <w14:solidFill>
              <w14:schemeClr w14:val="tx1"/>
            </w14:solidFill>
          </w14:textFill>
        </w:rPr>
        <w:t>除前述约定包干使用费用外，甲方不再向乙方就履行本协议而支付其他任何费用。</w:t>
      </w:r>
    </w:p>
    <w:p>
      <w:pPr>
        <w:pStyle w:val="70"/>
        <w:widowControl/>
        <w:numPr>
          <w:ilvl w:val="0"/>
          <w:numId w:val="0"/>
        </w:numPr>
        <w:spacing w:before="120" w:beforeLines="50" w:line="580" w:lineRule="exact"/>
        <w:ind w:firstLine="560" w:firstLineChars="200"/>
        <w:jc w:val="left"/>
        <w:rPr>
          <w:rFonts w:hint="eastAsia" w:ascii="仿宋_GB2312" w:hAnsi="仿宋_GB2312" w:eastAsia="仿宋_GB2312" w:cs="仿宋_GB2312"/>
          <w:b w:val="0"/>
          <w:bCs w:val="0"/>
          <w:color w:val="000000" w:themeColor="text1"/>
          <w:spacing w:val="0"/>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28"/>
          <w:szCs w:val="28"/>
          <w:highlight w:val="none"/>
          <w:u w:val="none"/>
          <w:lang w:val="en-US" w:eastAsia="zh-CN" w:bidi="ar"/>
          <w14:textFill>
            <w14:solidFill>
              <w14:schemeClr w14:val="tx1"/>
            </w14:solidFill>
          </w14:textFill>
        </w:rPr>
        <w:t>签约合同价包含了施工图预算和招标工程量清单编制费，不单独进行支付。</w:t>
      </w:r>
    </w:p>
    <w:p>
      <w:pPr>
        <w:pStyle w:val="70"/>
        <w:widowControl/>
        <w:spacing w:before="120" w:beforeLines="50" w:line="580" w:lineRule="exact"/>
        <w:ind w:left="0" w:firstLine="0" w:firstLineChars="0"/>
        <w:jc w:val="left"/>
        <w:rPr>
          <w:rFonts w:hint="eastAsia" w:ascii="仿宋_GB2312" w:hAnsi="仿宋_GB2312" w:eastAsia="仿宋_GB2312" w:cs="仿宋_GB2312"/>
          <w:b/>
          <w:color w:val="000000" w:themeColor="text1"/>
          <w:spacing w:val="24"/>
          <w:kern w:val="0"/>
          <w:sz w:val="28"/>
          <w:szCs w:val="28"/>
          <w:highlight w:val="none"/>
          <w:u w:val="none"/>
          <w14:textFill>
            <w14:solidFill>
              <w14:schemeClr w14:val="tx1"/>
            </w14:solidFill>
          </w14:textFill>
        </w:rPr>
      </w:pPr>
      <w:r>
        <w:rPr>
          <w:rFonts w:hint="eastAsia" w:ascii="仿宋_GB2312" w:hAnsi="仿宋_GB2312" w:eastAsia="仿宋_GB2312" w:cs="仿宋_GB2312"/>
          <w:b/>
          <w:color w:val="000000" w:themeColor="text1"/>
          <w:spacing w:val="24"/>
          <w:kern w:val="0"/>
          <w:sz w:val="28"/>
          <w:szCs w:val="28"/>
          <w:highlight w:val="none"/>
          <w:u w:val="none"/>
          <w14:textFill>
            <w14:solidFill>
              <w14:schemeClr w14:val="tx1"/>
            </w14:solidFill>
          </w14:textFill>
        </w:rPr>
        <w:t xml:space="preserve">第九条 </w:t>
      </w:r>
      <w:r>
        <w:rPr>
          <w:rFonts w:hint="eastAsia" w:ascii="仿宋_GB2312" w:hAnsi="仿宋_GB2312" w:eastAsia="仿宋_GB2312" w:cs="仿宋_GB2312"/>
          <w:b/>
          <w:color w:val="000000" w:themeColor="text1"/>
          <w:kern w:val="0"/>
          <w:sz w:val="28"/>
          <w:szCs w:val="28"/>
          <w:highlight w:val="none"/>
          <w:u w:val="none"/>
          <w14:textFill>
            <w14:solidFill>
              <w14:schemeClr w14:val="tx1"/>
            </w14:solidFill>
          </w14:textFill>
        </w:rPr>
        <w:t>支付方式</w:t>
      </w:r>
    </w:p>
    <w:p>
      <w:pPr>
        <w:widowControl/>
        <w:spacing w:line="580" w:lineRule="exact"/>
        <w:ind w:firstLine="562" w:firstLineChars="200"/>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9.1支付方式：</w:t>
      </w:r>
    </w:p>
    <w:p>
      <w:pPr>
        <w:widowControl/>
        <w:spacing w:line="580" w:lineRule="exact"/>
        <w:ind w:firstLine="562" w:firstLineChars="200"/>
        <w:jc w:val="left"/>
        <w:rPr>
          <w:rFonts w:hint="eastAsia" w:ascii="仿宋_GB2312" w:hAnsi="仿宋_GB2312" w:eastAsia="仿宋_GB2312" w:cs="仿宋_GB2312"/>
          <w:b/>
          <w:color w:val="000000" w:themeColor="text1"/>
          <w:kern w:val="0"/>
          <w:sz w:val="28"/>
          <w:szCs w:val="28"/>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bidi="ar"/>
          <w14:textFill>
            <w14:solidFill>
              <w14:schemeClr w14:val="tx1"/>
            </w14:solidFill>
          </w14:textFill>
        </w:rPr>
        <w:t>9.1.1勘察、设计费支付方式：选择以下第</w:t>
      </w:r>
      <w:r>
        <w:rPr>
          <w:rFonts w:hint="eastAsia" w:ascii="仿宋_GB2312" w:hAnsi="仿宋_GB2312" w:eastAsia="仿宋_GB2312" w:cs="仿宋_GB2312"/>
          <w:b/>
          <w:bCs/>
          <w:color w:val="000000" w:themeColor="text1"/>
          <w:kern w:val="0"/>
          <w:sz w:val="28"/>
          <w:szCs w:val="28"/>
          <w:highlight w:val="none"/>
          <w:u w:val="single"/>
          <w:lang w:bidi="ar"/>
          <w14:textFill>
            <w14:solidFill>
              <w14:schemeClr w14:val="tx1"/>
            </w14:solidFill>
          </w14:textFill>
        </w:rPr>
        <w:t xml:space="preserve">  </w:t>
      </w:r>
      <w:r>
        <w:rPr>
          <w:rFonts w:hint="default" w:ascii="Calibri" w:hAnsi="Calibri" w:eastAsia="仿宋_GB2312" w:cs="Calibri"/>
          <w:b w:val="0"/>
          <w:bCs/>
          <w:color w:val="000000" w:themeColor="text1"/>
          <w:kern w:val="0"/>
          <w:sz w:val="28"/>
          <w:szCs w:val="28"/>
          <w:highlight w:val="none"/>
          <w:u w:val="single"/>
          <w14:textFill>
            <w14:solidFill>
              <w14:schemeClr w14:val="tx1"/>
            </w14:solidFill>
          </w14:textFill>
        </w:rPr>
        <w:t>①</w:t>
      </w:r>
      <w:r>
        <w:rPr>
          <w:rFonts w:hint="eastAsia" w:ascii="仿宋_GB2312" w:hAnsi="仿宋_GB2312" w:eastAsia="仿宋_GB2312" w:cs="仿宋_GB2312"/>
          <w:b/>
          <w:bCs/>
          <w:color w:val="000000" w:themeColor="text1"/>
          <w:kern w:val="0"/>
          <w:sz w:val="28"/>
          <w:szCs w:val="28"/>
          <w:highlight w:val="none"/>
          <w:u w:val="single"/>
          <w:lang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28"/>
          <w:szCs w:val="28"/>
          <w:highlight w:val="none"/>
          <w:lang w:bidi="ar"/>
          <w14:textFill>
            <w14:solidFill>
              <w14:schemeClr w14:val="tx1"/>
            </w14:solidFill>
          </w14:textFill>
        </w:rPr>
        <w:t>种支付方式。</w:t>
      </w:r>
    </w:p>
    <w:p>
      <w:pPr>
        <w:pStyle w:val="69"/>
        <w:widowControl/>
        <w:spacing w:before="120" w:beforeLines="50" w:line="580" w:lineRule="exact"/>
        <w:ind w:firstLine="551" w:firstLineChars="197"/>
        <w:jc w:val="left"/>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pPr>
      <w:r>
        <w:rPr>
          <w:rFonts w:hint="default" w:ascii="Calibri" w:hAnsi="Calibri" w:eastAsia="仿宋_GB2312" w:cs="Calibri"/>
          <w:b w:val="0"/>
          <w:bCs/>
          <w:color w:val="000000" w:themeColor="text1"/>
          <w:kern w:val="0"/>
          <w:sz w:val="28"/>
          <w:szCs w:val="28"/>
          <w:highlight w:val="none"/>
          <w:u w:val="single"/>
          <w14:textFill>
            <w14:solidFill>
              <w14:schemeClr w14:val="tx1"/>
            </w14:solidFill>
          </w14:textFill>
        </w:rPr>
        <w:t>①</w:t>
      </w:r>
      <w:r>
        <w:rPr>
          <w:rFonts w:hint="eastAsia" w:ascii="仿宋_GB2312" w:hAnsi="仿宋_GB2312" w:eastAsia="仿宋_GB2312" w:cs="仿宋_GB2312"/>
          <w:b w:val="0"/>
          <w:bCs/>
          <w:color w:val="000000" w:themeColor="text1"/>
          <w:kern w:val="0"/>
          <w:sz w:val="28"/>
          <w:szCs w:val="28"/>
          <w:highlight w:val="none"/>
          <w:u w:val="single"/>
          <w14:textFill>
            <w14:solidFill>
              <w14:schemeClr w14:val="tx1"/>
            </w14:solidFill>
          </w14:textFill>
        </w:rPr>
        <w:t>第一次付款</w:t>
      </w:r>
      <w:r>
        <w:rPr>
          <w:rFonts w:hint="eastAsia" w:ascii="仿宋_GB2312" w:hAnsi="仿宋_GB2312" w:eastAsia="仿宋_GB2312" w:cs="仿宋_GB2312"/>
          <w:b w:val="0"/>
          <w:bCs/>
          <w:color w:val="000000" w:themeColor="text1"/>
          <w:kern w:val="0"/>
          <w:sz w:val="28"/>
          <w:szCs w:val="28"/>
          <w:highlight w:val="none"/>
          <w:u w:val="single"/>
          <w:lang w:val="en-US" w:eastAsia="zh-CN"/>
          <w14:textFill>
            <w14:solidFill>
              <w14:schemeClr w14:val="tx1"/>
            </w14:solidFill>
          </w14:textFill>
        </w:rPr>
        <w:t>：在</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施工图审查通过，</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提交的施工图预算通过评审后，并提供符合招标要求的招标工程量清单及相关资料，甲方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支付</w:t>
      </w:r>
      <w:r>
        <w:rPr>
          <w:rFonts w:hint="eastAsia" w:ascii="仿宋_GB2312" w:hAnsi="仿宋_GB2312" w:eastAsia="仿宋_GB2312" w:cs="仿宋_GB2312"/>
          <w:b w:val="0"/>
          <w:bCs/>
          <w:color w:val="000000" w:themeColor="text1"/>
          <w:kern w:val="0"/>
          <w:sz w:val="28"/>
          <w:szCs w:val="28"/>
          <w:highlight w:val="none"/>
          <w:u w:val="single"/>
          <w:lang w:bidi="ar"/>
          <w14:textFill>
            <w14:solidFill>
              <w14:schemeClr w14:val="tx1"/>
            </w14:solidFill>
          </w14:textFill>
        </w:rPr>
        <w:t>勘察、</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设计总费用的</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70</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%；第</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二</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次付款：项目</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竣工验收合格</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后，支付项目</w:t>
      </w:r>
      <w:r>
        <w:rPr>
          <w:rFonts w:hint="eastAsia" w:ascii="仿宋_GB2312" w:hAnsi="仿宋_GB2312" w:eastAsia="仿宋_GB2312" w:cs="仿宋_GB2312"/>
          <w:b w:val="0"/>
          <w:bCs/>
          <w:color w:val="000000" w:themeColor="text1"/>
          <w:kern w:val="0"/>
          <w:sz w:val="28"/>
          <w:szCs w:val="28"/>
          <w:highlight w:val="none"/>
          <w:u w:val="single"/>
          <w:lang w:bidi="ar"/>
          <w14:textFill>
            <w14:solidFill>
              <w14:schemeClr w14:val="tx1"/>
            </w14:solidFill>
          </w14:textFill>
        </w:rPr>
        <w:t>勘察、</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设计总费用的30%。</w:t>
      </w:r>
    </w:p>
    <w:p>
      <w:pPr>
        <w:pStyle w:val="69"/>
        <w:widowControl/>
        <w:spacing w:before="120" w:beforeLines="50" w:line="580" w:lineRule="exact"/>
        <w:ind w:firstLine="551" w:firstLineChars="197"/>
        <w:jc w:val="left"/>
        <w:rPr>
          <w:rFonts w:hint="default"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pPr>
      <w:r>
        <w:rPr>
          <w:rFonts w:hint="default" w:ascii="Calibri" w:hAnsi="Calibri" w:eastAsia="仿宋_GB2312" w:cs="Calibri"/>
          <w:b w:val="0"/>
          <w:bCs/>
          <w:color w:val="000000" w:themeColor="text1"/>
          <w:sz w:val="28"/>
          <w:szCs w:val="28"/>
          <w:highlight w:val="none"/>
          <w:u w:val="single"/>
          <w14:textFill>
            <w14:solidFill>
              <w14:schemeClr w14:val="tx1"/>
            </w14:solidFill>
          </w14:textFill>
        </w:rPr>
        <w:t>②</w:t>
      </w:r>
      <w:r>
        <w:rPr>
          <w:rFonts w:hint="eastAsia" w:ascii="仿宋_GB2312" w:hAnsi="仿宋_GB2312" w:eastAsia="仿宋_GB2312" w:cs="仿宋_GB2312"/>
          <w:b w:val="0"/>
          <w:bCs/>
          <w:color w:val="000000" w:themeColor="text1"/>
          <w:kern w:val="0"/>
          <w:sz w:val="28"/>
          <w:szCs w:val="28"/>
          <w:highlight w:val="none"/>
          <w:u w:val="single"/>
          <w14:textFill>
            <w14:solidFill>
              <w14:schemeClr w14:val="tx1"/>
            </w14:solidFill>
          </w14:textFill>
        </w:rPr>
        <w:t>第一次付款：</w:t>
      </w:r>
      <w:r>
        <w:rPr>
          <w:rFonts w:hint="eastAsia" w:ascii="仿宋_GB2312" w:hAnsi="仿宋_GB2312" w:eastAsia="仿宋_GB2312" w:cs="仿宋_GB2312"/>
          <w:b w:val="0"/>
          <w:bCs/>
          <w:color w:val="000000" w:themeColor="text1"/>
          <w:kern w:val="0"/>
          <w:sz w:val="28"/>
          <w:szCs w:val="28"/>
          <w:highlight w:val="none"/>
          <w:u w:val="single"/>
          <w:lang w:val="en-US" w:eastAsia="zh-CN"/>
          <w14:textFill>
            <w14:solidFill>
              <w14:schemeClr w14:val="tx1"/>
            </w14:solidFill>
          </w14:textFill>
        </w:rPr>
        <w:t>在初设通过相关主管部门审查后，并取得初设批复后，支付勘察、设计总费用的30%；第二次付款：在</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施工图审查通过，</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提交的施工图预算通过评审后，并提供符合招标要求的招标工程量清单及相关资料，甲方</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支付</w:t>
      </w:r>
      <w:r>
        <w:rPr>
          <w:rFonts w:hint="eastAsia" w:ascii="仿宋_GB2312" w:hAnsi="仿宋_GB2312" w:eastAsia="仿宋_GB2312" w:cs="仿宋_GB2312"/>
          <w:b w:val="0"/>
          <w:bCs/>
          <w:color w:val="000000" w:themeColor="text1"/>
          <w:kern w:val="0"/>
          <w:sz w:val="28"/>
          <w:szCs w:val="28"/>
          <w:highlight w:val="none"/>
          <w:u w:val="single"/>
          <w:lang w:bidi="ar"/>
          <w14:textFill>
            <w14:solidFill>
              <w14:schemeClr w14:val="tx1"/>
            </w14:solidFill>
          </w14:textFill>
        </w:rPr>
        <w:t>勘察、</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设计总费用的</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40</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%；第</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三</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次付款：项目</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竣工验收合格</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后，支付项目</w:t>
      </w:r>
      <w:r>
        <w:rPr>
          <w:rFonts w:hint="eastAsia" w:ascii="仿宋_GB2312" w:hAnsi="仿宋_GB2312" w:eastAsia="仿宋_GB2312" w:cs="仿宋_GB2312"/>
          <w:b w:val="0"/>
          <w:bCs/>
          <w:color w:val="000000" w:themeColor="text1"/>
          <w:kern w:val="0"/>
          <w:sz w:val="28"/>
          <w:szCs w:val="28"/>
          <w:highlight w:val="none"/>
          <w:u w:val="single"/>
          <w:lang w:bidi="ar"/>
          <w14:textFill>
            <w14:solidFill>
              <w14:schemeClr w14:val="tx1"/>
            </w14:solidFill>
          </w14:textFill>
        </w:rPr>
        <w:t>勘察、</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设计总费用的30%</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w:t>
      </w:r>
    </w:p>
    <w:p>
      <w:pPr>
        <w:pStyle w:val="82"/>
        <w:spacing w:line="580" w:lineRule="exact"/>
        <w:ind w:firstLine="560" w:firstLineChars="200"/>
        <w:jc w:val="both"/>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u w:val="none"/>
          <w14:textFill>
            <w14:solidFill>
              <w14:schemeClr w14:val="tx1"/>
            </w14:solidFill>
          </w14:textFill>
        </w:rPr>
        <w:t>9.2</w:t>
      </w:r>
      <w:r>
        <w:rPr>
          <w:rFonts w:hint="eastAsia" w:ascii="仿宋_GB2312" w:hAnsi="仿宋_GB2312" w:eastAsia="仿宋_GB2312" w:cs="仿宋_GB2312"/>
          <w:b w:val="0"/>
          <w:bCs w:val="0"/>
          <w:color w:val="000000" w:themeColor="text1"/>
          <w:kern w:val="0"/>
          <w:sz w:val="28"/>
          <w:szCs w:val="28"/>
          <w:highlight w:val="none"/>
          <w:u w:val="none"/>
          <w:lang w:bidi="ar"/>
          <w14:textFill>
            <w14:solidFill>
              <w14:schemeClr w14:val="tx1"/>
            </w14:solidFill>
          </w14:textFill>
        </w:rPr>
        <w:t>每次付款，</w:t>
      </w:r>
      <w:r>
        <w:rPr>
          <w:rFonts w:hint="eastAsia" w:ascii="仿宋_GB2312" w:hAnsi="仿宋_GB2312" w:eastAsia="仿宋_GB2312" w:cs="仿宋_GB2312"/>
          <w:b w:val="0"/>
          <w:bCs w:val="0"/>
          <w:color w:val="000000" w:themeColor="text1"/>
          <w:kern w:val="0"/>
          <w:sz w:val="28"/>
          <w:szCs w:val="28"/>
          <w:highlight w:val="none"/>
          <w:u w:val="none"/>
          <w:lang w:eastAsia="zh-CN" w:bidi="ar"/>
          <w14:textFill>
            <w14:solidFill>
              <w14:schemeClr w14:val="tx1"/>
            </w14:solidFill>
          </w14:textFill>
        </w:rPr>
        <w:t>乙方</w:t>
      </w:r>
      <w:r>
        <w:rPr>
          <w:rFonts w:hint="eastAsia" w:ascii="仿宋_GB2312" w:hAnsi="仿宋_GB2312" w:eastAsia="仿宋_GB2312" w:cs="仿宋_GB2312"/>
          <w:b w:val="0"/>
          <w:bCs w:val="0"/>
          <w:color w:val="000000" w:themeColor="text1"/>
          <w:kern w:val="0"/>
          <w:sz w:val="28"/>
          <w:szCs w:val="28"/>
          <w:highlight w:val="none"/>
          <w:u w:val="none"/>
          <w:lang w:bidi="ar"/>
          <w14:textFill>
            <w14:solidFill>
              <w14:schemeClr w14:val="tx1"/>
            </w14:solidFill>
          </w14:textFill>
        </w:rPr>
        <w:t>需提供足额增值税专用发票，并提交支付所需资料待</w:t>
      </w:r>
      <w:r>
        <w:rPr>
          <w:rFonts w:hint="eastAsia" w:ascii="仿宋_GB2312" w:hAnsi="仿宋_GB2312" w:eastAsia="仿宋_GB2312" w:cs="仿宋_GB2312"/>
          <w:b w:val="0"/>
          <w:bCs w:val="0"/>
          <w:color w:val="000000" w:themeColor="text1"/>
          <w:kern w:val="0"/>
          <w:sz w:val="28"/>
          <w:szCs w:val="28"/>
          <w:highlight w:val="none"/>
          <w:u w:val="none"/>
          <w:lang w:eastAsia="zh-CN" w:bidi="ar"/>
          <w14:textFill>
            <w14:solidFill>
              <w14:schemeClr w14:val="tx1"/>
            </w14:solidFill>
          </w14:textFill>
        </w:rPr>
        <w:t>甲方</w:t>
      </w:r>
      <w:r>
        <w:rPr>
          <w:rFonts w:hint="eastAsia" w:ascii="仿宋_GB2312" w:hAnsi="仿宋_GB2312" w:eastAsia="仿宋_GB2312" w:cs="仿宋_GB2312"/>
          <w:b w:val="0"/>
          <w:bCs w:val="0"/>
          <w:color w:val="000000" w:themeColor="text1"/>
          <w:kern w:val="0"/>
          <w:sz w:val="28"/>
          <w:szCs w:val="28"/>
          <w:highlight w:val="none"/>
          <w:u w:val="none"/>
          <w:lang w:bidi="ar"/>
          <w14:textFill>
            <w14:solidFill>
              <w14:schemeClr w14:val="tx1"/>
            </w14:solidFill>
          </w14:textFill>
        </w:rPr>
        <w:t>确认后</w:t>
      </w:r>
      <w:r>
        <w:rPr>
          <w:rFonts w:hint="eastAsia" w:ascii="仿宋_GB2312" w:hAnsi="仿宋_GB2312" w:eastAsia="仿宋_GB2312" w:cs="仿宋_GB2312"/>
          <w:b w:val="0"/>
          <w:bCs w:val="0"/>
          <w:color w:val="000000" w:themeColor="text1"/>
          <w:kern w:val="0"/>
          <w:sz w:val="28"/>
          <w:szCs w:val="28"/>
          <w:highlight w:val="none"/>
          <w:u w:val="none"/>
          <w:lang w:val="en-US" w:eastAsia="zh-CN" w:bidi="ar"/>
          <w14:textFill>
            <w14:solidFill>
              <w14:schemeClr w14:val="tx1"/>
            </w14:solidFill>
          </w14:textFill>
        </w:rPr>
        <w:t>30</w:t>
      </w:r>
      <w:r>
        <w:rPr>
          <w:rFonts w:hint="eastAsia" w:ascii="仿宋_GB2312" w:hAnsi="仿宋_GB2312" w:eastAsia="仿宋_GB2312" w:cs="仿宋_GB2312"/>
          <w:b w:val="0"/>
          <w:bCs w:val="0"/>
          <w:color w:val="000000" w:themeColor="text1"/>
          <w:kern w:val="0"/>
          <w:sz w:val="28"/>
          <w:szCs w:val="28"/>
          <w:highlight w:val="none"/>
          <w:u w:val="none"/>
          <w:lang w:bidi="ar"/>
          <w14:textFill>
            <w14:solidFill>
              <w14:schemeClr w14:val="tx1"/>
            </w14:solidFill>
          </w14:textFill>
        </w:rPr>
        <w:t>个工作日内进行支付。</w:t>
      </w:r>
    </w:p>
    <w:p>
      <w:pPr>
        <w:pStyle w:val="69"/>
        <w:widowControl/>
        <w:spacing w:before="120" w:beforeLines="50" w:line="580" w:lineRule="exact"/>
        <w:ind w:firstLine="551" w:firstLineChars="197"/>
        <w:jc w:val="left"/>
        <w:rPr>
          <w:rFonts w:hint="eastAsia" w:ascii="仿宋_GB2312" w:hAnsi="仿宋_GB2312" w:eastAsia="仿宋_GB2312" w:cs="仿宋_GB2312"/>
          <w:b w:val="0"/>
          <w:bCs w:val="0"/>
          <w:color w:val="000000" w:themeColor="text1"/>
          <w:kern w:val="0"/>
          <w:sz w:val="28"/>
          <w:szCs w:val="28"/>
          <w:highlight w:val="none"/>
          <w:u w:val="none"/>
          <w:lang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9.3</w:t>
      </w:r>
      <w:r>
        <w:rPr>
          <w:rFonts w:hint="eastAsia" w:ascii="仿宋_GB2312" w:hAnsi="仿宋_GB2312" w:eastAsia="仿宋_GB2312" w:cs="仿宋_GB2312"/>
          <w:b w:val="0"/>
          <w:bCs w:val="0"/>
          <w:color w:val="000000" w:themeColor="text1"/>
          <w:kern w:val="0"/>
          <w:sz w:val="28"/>
          <w:szCs w:val="28"/>
          <w:highlight w:val="none"/>
          <w:u w:val="none"/>
          <w:lang w:bidi="ar"/>
          <w14:textFill>
            <w14:solidFill>
              <w14:schemeClr w14:val="tx1"/>
            </w14:solidFill>
          </w14:textFill>
        </w:rPr>
        <w:t>乙方未按约定提供足额增值税专用发票，甲方有权拒绝支付当期应付相应款项。</w:t>
      </w:r>
      <w:r>
        <w:rPr>
          <w:rFonts w:hint="eastAsia" w:ascii="仿宋_GB2312" w:hAnsi="仿宋_GB2312" w:eastAsia="仿宋_GB2312" w:cs="仿宋_GB2312"/>
          <w:b w:val="0"/>
          <w:bCs w:val="0"/>
          <w:color w:val="000000" w:themeColor="text1"/>
          <w:kern w:val="0"/>
          <w:sz w:val="28"/>
          <w:szCs w:val="28"/>
          <w:highlight w:val="none"/>
          <w:u w:val="none"/>
          <w:lang w:val="en-US" w:eastAsia="zh-CN" w:bidi="ar"/>
          <w14:textFill>
            <w14:solidFill>
              <w14:schemeClr w14:val="tx1"/>
            </w14:solidFill>
          </w14:textFill>
        </w:rPr>
        <w:t>或甲方有权在支付的款项中予以扣减。</w:t>
      </w:r>
      <w:r>
        <w:rPr>
          <w:rFonts w:hint="eastAsia" w:ascii="仿宋_GB2312" w:hAnsi="仿宋_GB2312" w:eastAsia="仿宋_GB2312" w:cs="仿宋_GB2312"/>
          <w:b w:val="0"/>
          <w:bCs w:val="0"/>
          <w:color w:val="000000" w:themeColor="text1"/>
          <w:kern w:val="0"/>
          <w:sz w:val="28"/>
          <w:szCs w:val="28"/>
          <w:highlight w:val="none"/>
          <w:u w:val="none"/>
          <w:lang w:bidi="ar"/>
          <w14:textFill>
            <w14:solidFill>
              <w14:schemeClr w14:val="tx1"/>
            </w14:solidFill>
          </w14:textFill>
        </w:rPr>
        <w:t>且乙方需向甲方承担赔偿责任包括但不限于税款、滞纳金、罚款及相关损失等。</w:t>
      </w:r>
    </w:p>
    <w:p>
      <w:pPr>
        <w:pStyle w:val="69"/>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u w:val="none"/>
          <w:lang w:val="en-US" w:eastAsia="zh-Hans" w:bidi="ar-SA"/>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u w:val="none"/>
          <w:lang w:eastAsia="zh-CN" w:bidi="ar-SA"/>
          <w14:textFill>
            <w14:solidFill>
              <w14:schemeClr w14:val="tx1"/>
            </w14:solidFill>
          </w14:textFill>
        </w:rPr>
        <w:t>9.4</w:t>
      </w:r>
      <w:r>
        <w:rPr>
          <w:rFonts w:hint="eastAsia" w:ascii="仿宋_GB2312" w:hAnsi="仿宋_GB2312" w:eastAsia="仿宋_GB2312" w:cs="仿宋_GB2312"/>
          <w:color w:val="000000" w:themeColor="text1"/>
          <w:kern w:val="0"/>
          <w:sz w:val="28"/>
          <w:szCs w:val="28"/>
          <w:highlight w:val="none"/>
          <w:u w:val="none"/>
          <w:lang w:val="en-US" w:eastAsia="zh-Hans" w:bidi="ar-SA"/>
          <w14:textFill>
            <w14:solidFill>
              <w14:schemeClr w14:val="tx1"/>
            </w14:solidFill>
          </w14:textFill>
        </w:rPr>
        <w:t>甲方开票信息：</w:t>
      </w:r>
    </w:p>
    <w:p>
      <w:pPr>
        <w:pStyle w:val="69"/>
        <w:widowControl/>
        <w:spacing w:before="120" w:beforeLines="50" w:line="580" w:lineRule="exact"/>
        <w:ind w:firstLine="551" w:firstLineChars="197"/>
        <w:jc w:val="left"/>
        <w:rPr>
          <w:rFonts w:hint="default"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户    名：</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眉山环天水务有限公司</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w:t>
      </w:r>
    </w:p>
    <w:p>
      <w:pPr>
        <w:pStyle w:val="69"/>
        <w:widowControl/>
        <w:spacing w:before="120" w:beforeLines="50" w:line="580" w:lineRule="exact"/>
        <w:ind w:firstLine="551" w:firstLineChars="197"/>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中国农业银行股份有限公司仁寿视高支行</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w:t>
      </w:r>
    </w:p>
    <w:p>
      <w:pPr>
        <w:pStyle w:val="69"/>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u w:val="none"/>
          <w:lang w:val="en-US" w:eastAsia="zh-Hans"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银行账号：</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22406901040002858</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p>
    <w:p>
      <w:pPr>
        <w:pStyle w:val="69"/>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u w:val="none"/>
          <w:lang w:val="en-US" w:eastAsia="zh-Hans" w:bidi="ar-SA"/>
          <w14:textFill>
            <w14:solidFill>
              <w14:schemeClr w14:val="tx1"/>
            </w14:solidFill>
          </w14:textFill>
        </w:rPr>
      </w:pPr>
      <w:r>
        <w:rPr>
          <w:rFonts w:hint="default" w:ascii="仿宋_GB2312" w:hAnsi="仿宋_GB2312" w:eastAsia="仿宋_GB2312" w:cs="仿宋_GB2312"/>
          <w:color w:val="000000" w:themeColor="text1"/>
          <w:kern w:val="0"/>
          <w:sz w:val="28"/>
          <w:szCs w:val="28"/>
          <w:highlight w:val="none"/>
          <w:u w:val="none"/>
          <w:lang w:eastAsia="zh-Hans" w:bidi="ar-SA"/>
          <w14:textFill>
            <w14:solidFill>
              <w14:schemeClr w14:val="tx1"/>
            </w14:solidFill>
          </w14:textFill>
        </w:rPr>
        <w:t>9.5</w:t>
      </w:r>
      <w:r>
        <w:rPr>
          <w:rFonts w:hint="eastAsia" w:ascii="仿宋_GB2312" w:hAnsi="仿宋_GB2312" w:eastAsia="仿宋_GB2312" w:cs="仿宋_GB2312"/>
          <w:color w:val="000000" w:themeColor="text1"/>
          <w:kern w:val="0"/>
          <w:sz w:val="28"/>
          <w:szCs w:val="28"/>
          <w:highlight w:val="none"/>
          <w:u w:val="none"/>
          <w:lang w:val="en-US" w:eastAsia="zh-Hans" w:bidi="ar-SA"/>
          <w14:textFill>
            <w14:solidFill>
              <w14:schemeClr w14:val="tx1"/>
            </w14:solidFill>
          </w14:textFill>
        </w:rPr>
        <w:t>乙方收款账户信息：</w:t>
      </w:r>
    </w:p>
    <w:p>
      <w:pPr>
        <w:pStyle w:val="69"/>
        <w:widowControl/>
        <w:spacing w:before="120" w:beforeLines="50" w:line="580" w:lineRule="exact"/>
        <w:ind w:firstLine="551" w:firstLineChars="197"/>
        <w:jc w:val="left"/>
        <w:rPr>
          <w:rFonts w:hint="default"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户    名：</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p>
    <w:p>
      <w:pPr>
        <w:pStyle w:val="69"/>
        <w:widowControl/>
        <w:spacing w:before="120" w:beforeLines="50" w:line="580" w:lineRule="exact"/>
        <w:ind w:firstLine="551" w:firstLineChars="197"/>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p>
    <w:p>
      <w:pPr>
        <w:pStyle w:val="69"/>
        <w:widowControl/>
        <w:spacing w:before="120" w:beforeLines="50" w:line="580" w:lineRule="exact"/>
        <w:ind w:firstLine="551" w:firstLineChars="197"/>
        <w:jc w:val="left"/>
        <w:rPr>
          <w:rFonts w:hint="eastAsia" w:ascii="仿宋_GB2312" w:hAnsi="仿宋_GB2312" w:eastAsia="仿宋_GB2312" w:cs="仿宋_GB2312"/>
          <w:color w:val="000000" w:themeColor="text1"/>
          <w:kern w:val="0"/>
          <w:sz w:val="28"/>
          <w:szCs w:val="28"/>
          <w:highlight w:val="none"/>
          <w:u w:val="none"/>
          <w:lang w:val="en-US" w:eastAsia="zh-Hans"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银行账号：</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p>
    <w:p>
      <w:pPr>
        <w:pStyle w:val="70"/>
        <w:widowControl/>
        <w:spacing w:before="120" w:beforeLines="50" w:line="580" w:lineRule="exact"/>
        <w:ind w:firstLine="0" w:firstLineChars="0"/>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第十条</w:t>
      </w: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双方责任</w:t>
      </w:r>
    </w:p>
    <w:p>
      <w:pPr>
        <w:pStyle w:val="70"/>
        <w:widowControl/>
        <w:spacing w:before="120" w:beforeLines="50" w:line="580" w:lineRule="exact"/>
        <w:ind w:firstLine="560" w:firstLineChars="200"/>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10.1</w:t>
      </w:r>
      <w:r>
        <w:rPr>
          <w:rFonts w:hint="eastAsia" w:ascii="仿宋_GB2312" w:hAnsi="仿宋_GB2312" w:eastAsia="仿宋_GB2312" w:cs="仿宋_GB2312"/>
          <w:color w:val="000000" w:themeColor="text1"/>
          <w:kern w:val="0"/>
          <w:sz w:val="28"/>
          <w:szCs w:val="28"/>
          <w:highlight w:val="none"/>
          <w:u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责任</w:t>
      </w:r>
    </w:p>
    <w:p>
      <w:pPr>
        <w:pStyle w:val="70"/>
        <w:widowControl/>
        <w:spacing w:before="120" w:beforeLines="50" w:line="580" w:lineRule="exact"/>
        <w:ind w:firstLine="548" w:firstLineChars="196"/>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10.1.1</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按本合同第五条规定的内容，在规定的时间内向</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提交基础资料及文件，并对其完整性、正确性及时限负责。</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不得要求</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违反国家有关标准进行勘察、设计。</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提交上述资料及文件超过规定期限，</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按本合同第六条规定的交付勘察、设计文件时间顺延。</w:t>
      </w:r>
    </w:p>
    <w:p>
      <w:pPr>
        <w:pStyle w:val="70"/>
        <w:widowControl/>
        <w:spacing w:before="120" w:beforeLines="50" w:line="580" w:lineRule="exact"/>
        <w:ind w:firstLine="686" w:firstLineChars="245"/>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pacing w:val="0"/>
          <w:kern w:val="0"/>
          <w:sz w:val="28"/>
          <w:szCs w:val="28"/>
          <w:highlight w:val="none"/>
          <w:u w:val="none"/>
          <w:lang w:bidi="ar"/>
          <w14:textFill>
            <w14:solidFill>
              <w14:schemeClr w14:val="tx1"/>
            </w14:solidFill>
          </w14:textFill>
        </w:rPr>
        <w:t>10.1.2</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pacing w:val="0"/>
          <w:kern w:val="0"/>
          <w:sz w:val="28"/>
          <w:szCs w:val="28"/>
          <w:highlight w:val="none"/>
          <w14:textFill>
            <w14:solidFill>
              <w14:schemeClr w14:val="tx1"/>
            </w14:solidFill>
          </w14:textFill>
        </w:rPr>
        <w:t>变更委托勘察、设计项目、规模、条件或因提交的资料错误，或所提交资料做较大修改，以致造成</w:t>
      </w:r>
      <w:r>
        <w:rPr>
          <w:rFonts w:hint="eastAsia" w:ascii="仿宋_GB2312" w:hAnsi="仿宋_GB2312" w:eastAsia="仿宋_GB2312" w:cs="仿宋_GB2312"/>
          <w:color w:val="000000" w:themeColor="text1"/>
          <w:spacing w:val="0"/>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pacing w:val="0"/>
          <w:kern w:val="0"/>
          <w:sz w:val="28"/>
          <w:szCs w:val="28"/>
          <w:highlight w:val="none"/>
          <w14:textFill>
            <w14:solidFill>
              <w14:schemeClr w14:val="tx1"/>
            </w14:solidFill>
          </w14:textFill>
        </w:rPr>
        <w:t>勘察、设计返工时，双方可协商签订补充协议（或另订合同）重新明确有关条款。</w:t>
      </w:r>
    </w:p>
    <w:p>
      <w:pPr>
        <w:pStyle w:val="69"/>
        <w:widowControl/>
        <w:spacing w:before="120" w:beforeLines="50" w:line="580" w:lineRule="exact"/>
        <w:ind w:firstLine="560" w:firstLineChars="200"/>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10.1.3</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在合同履行期间，</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非因乙方原因，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要求中止或解除合同，</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已开始勘察、设计工作的，</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应根据</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已进行的实际工作量，按比例支付勘察、设计费。</w:t>
      </w:r>
    </w:p>
    <w:p>
      <w:pPr>
        <w:pStyle w:val="70"/>
        <w:widowControl/>
        <w:spacing w:before="120" w:beforeLines="50" w:line="580" w:lineRule="exact"/>
        <w:ind w:firstLine="560" w:firstLineChars="200"/>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10.1.4</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应按本合同规定的金额和日期向</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支付费用，逾期超过30天以上时，</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有权暂停履行下阶段工作，并书面通知</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    </w:t>
      </w:r>
    </w:p>
    <w:p>
      <w:pPr>
        <w:pStyle w:val="70"/>
        <w:widowControl/>
        <w:spacing w:before="120" w:beforeLines="50" w:line="580" w:lineRule="exact"/>
        <w:ind w:firstLine="560" w:firstLineChars="200"/>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10.1.5</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要求</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比合同规定时间提前交付勘察、设计文件时，须征得</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同意，不得严重背离合理工作周期。</w:t>
      </w:r>
    </w:p>
    <w:p>
      <w:pPr>
        <w:pStyle w:val="70"/>
        <w:widowControl/>
        <w:spacing w:before="120" w:beforeLines="50" w:line="580" w:lineRule="exact"/>
        <w:ind w:firstLine="560" w:firstLineChars="200"/>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10.1.</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6</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勘察、设计文件中选用的国家标准图及地方标准图由</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自行负责解决。</w:t>
      </w:r>
    </w:p>
    <w:p>
      <w:pPr>
        <w:pStyle w:val="70"/>
        <w:widowControl/>
        <w:spacing w:before="120" w:beforeLines="50" w:line="580" w:lineRule="exact"/>
        <w:ind w:firstLine="548" w:firstLineChars="196"/>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10.2</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责任</w:t>
      </w:r>
    </w:p>
    <w:p>
      <w:pPr>
        <w:pStyle w:val="70"/>
        <w:widowControl/>
        <w:spacing w:before="120" w:beforeLines="50" w:line="580" w:lineRule="exact"/>
        <w:ind w:firstLine="548" w:firstLineChars="196"/>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10.2.1</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应按国家规定和合同约定的技术规范、标准进行勘察、设计，按本合同第六条规定的内容、时间及份数向</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交付勘察、设计文件（出现</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10.1.1、10.1.2、10.1.4</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规定有关交付勘察、设计文件顺延的情况除外）。并对提交的勘察、设计文件的质量负责。</w:t>
      </w:r>
    </w:p>
    <w:p>
      <w:pPr>
        <w:pStyle w:val="70"/>
        <w:widowControl/>
        <w:spacing w:before="120" w:beforeLines="50" w:line="580" w:lineRule="exact"/>
        <w:ind w:firstLine="548" w:firstLineChars="196"/>
        <w:jc w:val="left"/>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10.2.2</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乙方承诺其持有国家法律、法规所要求的一切有效证明、批准、许可、资质和任何其他证明文件，以从事与本合同相关的业务经营，乙方就向甲方提供的全部该等文件承担全部责任；乙方将营业执照复印件、法定代表人身份证复印件及相关资质证明在签订合同时提交给甲方；合同期间内若乙方证件发生变化应在变化后三日内书面通知甲方，并提供相关的证明材料。</w:t>
      </w:r>
    </w:p>
    <w:p>
      <w:pPr>
        <w:pStyle w:val="70"/>
        <w:widowControl/>
        <w:spacing w:before="120" w:beforeLines="50" w:line="580" w:lineRule="exact"/>
        <w:ind w:firstLine="548" w:firstLineChars="196"/>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10.2.3乙方指派</w:t>
      </w:r>
      <w:r>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b/>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负责该合同项目的勘察、设计联络工作</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若联络人发生变化的乙方应于变更后两日内书面通知甲方。</w:t>
      </w:r>
    </w:p>
    <w:p>
      <w:pPr>
        <w:pStyle w:val="70"/>
        <w:widowControl/>
        <w:spacing w:before="120" w:beforeLines="50" w:line="580" w:lineRule="exact"/>
        <w:ind w:firstLine="548" w:firstLineChars="196"/>
        <w:jc w:val="left"/>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10.2.</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4</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乙方的联系方式及</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文书送达</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地址：</w:t>
      </w:r>
      <w:r>
        <w:rPr>
          <w:rFonts w:hint="eastAsia" w:ascii="仿宋_GB2312" w:hAnsi="仿宋_GB2312" w:eastAsia="仿宋_GB2312" w:cs="仿宋_GB2312"/>
          <w:bCs/>
          <w:color w:val="000000" w:themeColor="text1"/>
          <w:kern w:val="0"/>
          <w:sz w:val="28"/>
          <w:szCs w:val="28"/>
          <w:highlight w:val="none"/>
          <w:u w:val="single"/>
          <w:lang w:bidi="ar"/>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highlight w:val="none"/>
          <w:u w:val="single"/>
          <w:lang w:bidi="ar"/>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。可作为送达</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来往信函等工作资料</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、法院送达诉讼文书的地址,因载明的地址有误或未及时告知变更后的地址,导致相关</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工作资料</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及诉讼文书未能实际被接收的、邮寄送达的,相关文书及诉讼文书退回之日即视为送达之日。</w:t>
      </w:r>
    </w:p>
    <w:p>
      <w:pPr>
        <w:pStyle w:val="70"/>
        <w:widowControl/>
        <w:spacing w:before="120" w:beforeLines="50" w:line="580" w:lineRule="exact"/>
        <w:ind w:firstLine="548" w:firstLineChars="196"/>
        <w:jc w:val="left"/>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10.2.5乙方应按甲方要求派专人到施工现场进行配合与解决有关问题以及出席甲方会议等相关服务内容；如不按甲方要求按时出席相关后续服务工作的，乙方承担不低于2000元/次的违约金</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 xml:space="preserve">。 </w:t>
      </w:r>
    </w:p>
    <w:p>
      <w:pPr>
        <w:pStyle w:val="70"/>
        <w:widowControl/>
        <w:spacing w:before="120" w:beforeLines="50" w:line="580" w:lineRule="exact"/>
        <w:ind w:firstLine="548" w:firstLineChars="196"/>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Cs/>
          <w:color w:val="000000" w:themeColor="text1"/>
          <w:kern w:val="0"/>
          <w:sz w:val="28"/>
          <w:szCs w:val="28"/>
          <w:highlight w:val="none"/>
          <w:u w:val="none"/>
          <w:lang w:val="en-US" w:eastAsia="zh-CN" w:bidi="ar"/>
          <w14:textFill>
            <w14:solidFill>
              <w14:schemeClr w14:val="tx1"/>
            </w14:solidFill>
          </w14:textFill>
        </w:rPr>
        <w:t>10.2.6乙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对勘察、设计文件出现的遗漏或错误负责修改或补充</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并按漏项、漏量的情况向甲方支付500元/项的违约金，若由于遗漏或错误造成的工程相关费用增加的还应按增加金额的10%支付违约金，最高不超过本合同金额的30%。</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由于</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勘察、设计错误造成工程质量事故、损失，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乙方承担连带责任，甲方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除责成</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负责采取补救措施及免收受损失部分的勘察、设计费外，</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有权向</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追究经济责任和法律责任。具体赔偿或补偿方式另行协商或按国家相关规定。</w:t>
      </w:r>
    </w:p>
    <w:p>
      <w:pPr>
        <w:pStyle w:val="70"/>
        <w:widowControl/>
        <w:spacing w:before="120" w:beforeLines="50" w:line="580" w:lineRule="exact"/>
        <w:ind w:firstLine="548" w:firstLineChars="196"/>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10.2.</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7</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由于</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原因，超过合同约定的工期的履约保证金不予退还，超过规定要求的工期</w:t>
      </w:r>
      <w:r>
        <w:rPr>
          <w:rFonts w:hint="eastAsia" w:ascii="仿宋_GB2312" w:hAnsi="仿宋_GB2312" w:eastAsia="仿宋_GB2312" w:cs="仿宋_GB2312"/>
          <w:color w:val="000000" w:themeColor="text1"/>
          <w:kern w:val="0"/>
          <w:sz w:val="28"/>
          <w:szCs w:val="28"/>
          <w:highlight w:val="none"/>
          <w:lang w:eastAsia="zh-CN" w:bidi="ar"/>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有权终止或解除合同，</w:t>
      </w:r>
      <w:r>
        <w:rPr>
          <w:rFonts w:hint="eastAsia" w:ascii="仿宋_GB2312" w:hAnsi="仿宋_GB2312" w:eastAsia="仿宋_GB2312" w:cs="仿宋_GB2312"/>
          <w:color w:val="000000" w:themeColor="text1"/>
          <w:kern w:val="0"/>
          <w:sz w:val="28"/>
          <w:szCs w:val="28"/>
          <w:highlight w:val="none"/>
          <w:lang w:eastAsia="zh-CN" w:bidi="ar"/>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有权向</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追究经济责任和法律责任。</w:t>
      </w:r>
    </w:p>
    <w:p>
      <w:pPr>
        <w:pStyle w:val="70"/>
        <w:widowControl/>
        <w:spacing w:before="120" w:beforeLines="50" w:line="580" w:lineRule="exact"/>
        <w:ind w:firstLine="548" w:firstLineChars="196"/>
        <w:jc w:val="left"/>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10.2.</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8</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乙</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方</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延误了</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第六条约定的</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文件交付时间</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，按不低于合同价款的千分之五/天承担违约责任，延误</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超过</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十天的，甲方</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有权</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单方面</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终止或解除合同，</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乙方退还甲方已支付的所有款项并承担合同金额20%的违约金。若因延误给甲方造成损失的乙方应承担赔偿责任</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w:t>
      </w:r>
    </w:p>
    <w:p>
      <w:pPr>
        <w:pStyle w:val="70"/>
        <w:widowControl/>
        <w:spacing w:before="120" w:beforeLines="50" w:line="580" w:lineRule="exact"/>
        <w:ind w:firstLine="548" w:firstLineChars="196"/>
        <w:jc w:val="left"/>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10.2.9乙方提交的成果不满足相关评审要求被退回的，乙方承担不低于2000元/次的违约金，因此延误了第六条约定的文件交付时间的还应按10.2.8约定承担违约责任</w:t>
      </w:r>
    </w:p>
    <w:p>
      <w:pPr>
        <w:pStyle w:val="70"/>
        <w:widowControl/>
        <w:spacing w:before="120" w:beforeLines="50" w:line="580" w:lineRule="exact"/>
        <w:ind w:firstLine="548" w:firstLineChars="196"/>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10.2.10合同生效后，乙方要求终止或解除合同，乙方退还甲方已支付的款项同时承担合同金额20%的违约金，并承担因此给甲方造成的损失。</w:t>
      </w:r>
    </w:p>
    <w:p>
      <w:pPr>
        <w:pStyle w:val="70"/>
        <w:widowControl/>
        <w:spacing w:before="120" w:beforeLines="50" w:line="580" w:lineRule="exact"/>
        <w:ind w:firstLine="548" w:firstLineChars="196"/>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bidi="ar"/>
          <w14:textFill>
            <w14:solidFill>
              <w14:schemeClr w14:val="tx1"/>
            </w14:solidFill>
          </w14:textFill>
        </w:rPr>
        <w:t>10.2.</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11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交付勘察、设计文件后，按规定参加有关上级的勘察、设计审查，并根据审查结论负责不超出原定范围的内容做必要调整补充。</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按合同规定时限勘察、设计、交付勘察、设计文件并负责向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及施工单位进行勘察、设计交底、处理有关勘察、设计问题和参加竣工验收。</w:t>
      </w:r>
    </w:p>
    <w:p>
      <w:pPr>
        <w:pStyle w:val="70"/>
        <w:widowControl/>
        <w:spacing w:before="120" w:beforeLines="50" w:line="580" w:lineRule="exact"/>
        <w:ind w:firstLine="548" w:firstLineChars="196"/>
        <w:jc w:val="left"/>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10.2.12</w:t>
      </w: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乙方</w:t>
      </w:r>
      <w:r>
        <w:rPr>
          <w:rFonts w:hint="eastAsia" w:ascii="仿宋_GB2312" w:hAnsi="仿宋_GB2312" w:eastAsia="仿宋_GB2312" w:cs="仿宋_GB2312"/>
          <w:bCs/>
          <w:color w:val="000000" w:themeColor="text1"/>
          <w:kern w:val="0"/>
          <w:sz w:val="28"/>
          <w:szCs w:val="28"/>
          <w:highlight w:val="none"/>
          <w:lang w:bidi="ar"/>
          <w14:textFill>
            <w14:solidFill>
              <w14:schemeClr w14:val="tx1"/>
            </w14:solidFill>
          </w14:textFill>
        </w:rPr>
        <w:t>必须是中标（选）单位，一经发现有作假、挂靠等现象将中止合同，没收履约保证金，并追究乙方造成的全部损失。</w:t>
      </w:r>
    </w:p>
    <w:p>
      <w:pPr>
        <w:pStyle w:val="70"/>
        <w:widowControl/>
        <w:spacing w:before="120" w:beforeLines="50" w:line="580" w:lineRule="exact"/>
        <w:ind w:firstLine="548" w:firstLineChars="196"/>
        <w:jc w:val="left"/>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10.2.13 因乙方违约行为，导致甲方提起诉讼，乙方应承担必要的诉讼费用包括但不限于律师代理费、诉讼费、保全费及必要的差旅费。</w:t>
      </w:r>
    </w:p>
    <w:p>
      <w:pPr>
        <w:pStyle w:val="70"/>
        <w:widowControl/>
        <w:spacing w:before="120" w:beforeLines="50" w:line="580" w:lineRule="exact"/>
        <w:ind w:firstLine="548" w:firstLineChars="196"/>
        <w:jc w:val="left"/>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10.2.14乙方应遵守天府新区眉山管理委员会、眉山天府新区投资集团有限公司、眉山环天实业有限公司的各项相关管理规定，如有违反按相关管理规定承担责任。</w:t>
      </w:r>
    </w:p>
    <w:p>
      <w:pPr>
        <w:pStyle w:val="70"/>
        <w:widowControl/>
        <w:spacing w:before="120" w:beforeLines="50" w:line="580" w:lineRule="exact"/>
        <w:ind w:firstLine="0"/>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第</w:t>
      </w: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十一条</w:t>
      </w: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保密条款</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w:t>
      </w:r>
      <w:r>
        <w:rPr>
          <w:rFonts w:hint="eastAsia" w:ascii="仿宋_GB2312" w:hAnsi="仿宋_GB2312" w:eastAsia="仿宋_GB2312" w:cs="仿宋_GB2312"/>
          <w:color w:val="000000" w:themeColor="text1"/>
          <w:sz w:val="28"/>
          <w:szCs w:val="28"/>
          <w14:textFill>
            <w14:solidFill>
              <w14:schemeClr w14:val="tx1"/>
            </w14:solidFill>
          </w14:textFill>
        </w:rPr>
        <w:t>合同总金额的20%计算。</w:t>
      </w:r>
    </w:p>
    <w:p>
      <w:pPr>
        <w:spacing w:line="580" w:lineRule="exact"/>
        <w:ind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第</w:t>
      </w: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十</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b/>
          <w:bCs w:val="0"/>
          <w:color w:val="000000" w:themeColor="text1"/>
          <w:kern w:val="0"/>
          <w:sz w:val="28"/>
          <w:szCs w:val="28"/>
          <w:highlight w:val="none"/>
          <w14:textFill>
            <w14:solidFill>
              <w14:schemeClr w14:val="tx1"/>
            </w14:solidFill>
          </w14:textFill>
        </w:rPr>
        <w:t>条</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争议的解决</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合同履行过程中发生争议时，双方应本着诚实信用原则，通过友好协商解决。若争议经协商仍无法解决的，向甲方所在地人民法院诉讼解决。届时违约方需承担守约方的全部维权费用，包括但不限于律师费、差旅费、诉讼费、保全费等。</w:t>
      </w:r>
    </w:p>
    <w:p>
      <w:pPr>
        <w:spacing w:line="580" w:lineRule="exact"/>
        <w:ind w:left="559" w:leftChars="266"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在争议解决期间，合同中未涉及争议部分的条款仍须履行。</w:t>
      </w:r>
    </w:p>
    <w:p>
      <w:pPr>
        <w:spacing w:line="580" w:lineRule="exact"/>
        <w:ind w:left="0" w:leftChars="0"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第</w:t>
      </w:r>
      <w:r>
        <w:rPr>
          <w:rFonts w:hint="eastAsia" w:ascii="仿宋_GB2312" w:hAnsi="仿宋_GB2312" w:eastAsia="仿宋_GB2312" w:cs="仿宋_GB2312"/>
          <w:b/>
          <w:bCs w:val="0"/>
          <w:color w:val="000000" w:themeColor="text1"/>
          <w:kern w:val="0"/>
          <w:sz w:val="28"/>
          <w:szCs w:val="28"/>
          <w:highlight w:val="none"/>
          <w14:textFill>
            <w14:solidFill>
              <w14:schemeClr w14:val="tx1"/>
            </w14:solidFill>
          </w14:textFill>
        </w:rPr>
        <w:t>十</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b/>
          <w:bCs w:val="0"/>
          <w:color w:val="000000" w:themeColor="text1"/>
          <w:kern w:val="0"/>
          <w:sz w:val="28"/>
          <w:szCs w:val="28"/>
          <w:highlight w:val="none"/>
          <w14:textFill>
            <w14:solidFill>
              <w14:schemeClr w14:val="tx1"/>
            </w14:solidFill>
          </w14:textFill>
        </w:rPr>
        <w:t>条</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约定送达条款</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13.1</w:t>
      </w:r>
      <w:r>
        <w:rPr>
          <w:rFonts w:hint="eastAsia" w:ascii="仿宋_GB2312" w:hAnsi="仿宋_GB2312" w:eastAsia="仿宋_GB2312" w:cs="仿宋_GB2312"/>
          <w:color w:val="000000" w:themeColor="text1"/>
          <w:sz w:val="28"/>
          <w:szCs w:val="28"/>
          <w14:textFill>
            <w14:solidFill>
              <w14:schemeClr w14:val="tx1"/>
            </w14:solidFill>
          </w14:textFill>
        </w:rPr>
        <w:t>本合同项下任何一方向对方发出的通知、信件、数据电文等，应当以书面形式发送至本合同下列约定的送达地址。</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一方当事人变更送达地址信息/电子送达信息的，应当在变更后3日内及时书面通知对方当事人，对方当事人实际收到变更通知前的送达仍为有效送达，电子送达与其他送达方式具有同等法律效力。</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甲方确认送达地址如下： </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地址：</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四川</w:t>
      </w:r>
      <w:r>
        <w:rPr>
          <w:rFonts w:hint="eastAsia" w:ascii="仿宋_GB2312" w:hAnsi="仿宋_GB2312" w:eastAsia="仿宋_GB2312" w:cs="仿宋_GB2312"/>
          <w:color w:val="000000" w:themeColor="text1"/>
          <w:sz w:val="28"/>
          <w:szCs w:val="28"/>
          <w14:textFill>
            <w14:solidFill>
              <w14:schemeClr w14:val="tx1"/>
            </w14:solidFill>
          </w14:textFill>
        </w:rPr>
        <w:t>省</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眉山</w:t>
      </w:r>
      <w:r>
        <w:rPr>
          <w:rFonts w:hint="eastAsia" w:ascii="仿宋_GB2312" w:hAnsi="仿宋_GB2312" w:eastAsia="仿宋_GB2312" w:cs="仿宋_GB2312"/>
          <w:color w:val="000000" w:themeColor="text1"/>
          <w:sz w:val="28"/>
          <w:szCs w:val="28"/>
          <w14:textFill>
            <w14:solidFill>
              <w14:schemeClr w14:val="tx1"/>
            </w14:solidFill>
          </w14:textFill>
        </w:rPr>
        <w:t>市</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仁寿</w:t>
      </w:r>
      <w:r>
        <w:rPr>
          <w:rFonts w:hint="eastAsia" w:ascii="仿宋_GB2312" w:hAnsi="仿宋_GB2312" w:eastAsia="仿宋_GB2312" w:cs="仿宋_GB2312"/>
          <w:color w:val="000000" w:themeColor="text1"/>
          <w:sz w:val="28"/>
          <w:szCs w:val="28"/>
          <w14:textFill>
            <w14:solidFill>
              <w14:schemeClr w14:val="tx1"/>
            </w14:solidFill>
          </w14:textFill>
        </w:rPr>
        <w:t>区/县</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视高街道钢铁水厂</w:t>
      </w:r>
      <w:r>
        <w:rPr>
          <w:rFonts w:hint="eastAsia" w:ascii="仿宋_GB2312" w:hAnsi="仿宋_GB2312" w:eastAsia="仿宋_GB2312" w:cs="仿宋_GB2312"/>
          <w:color w:val="000000" w:themeColor="text1"/>
          <w:sz w:val="28"/>
          <w:szCs w:val="28"/>
          <w14:textFill>
            <w14:solidFill>
              <w14:schemeClr w14:val="tx1"/>
            </w14:solidFill>
          </w14:textFill>
        </w:rPr>
        <w:t>，邮编：</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620564</w:t>
      </w: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甲方（同意□不同意</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）接受电子送达方式如下： </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手机短信：</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/传真：</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即时通讯账号（微信号）：</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/电子邮箱：</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乙方确认送达地址如下： </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地址：</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省</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市</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区/县</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路</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号，邮编：</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乙方（同意□不同意□）接受电子送达方式如下： </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手机短信：</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/传真：</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/即时通讯账号（微信号）：</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/电子邮箱：</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13.2</w:t>
      </w:r>
      <w:r>
        <w:rPr>
          <w:rFonts w:hint="eastAsia" w:ascii="仿宋_GB2312" w:hAnsi="仿宋_GB2312" w:eastAsia="仿宋_GB2312" w:cs="仿宋_GB2312"/>
          <w:color w:val="000000" w:themeColor="text1"/>
          <w:sz w:val="28"/>
          <w:szCs w:val="28"/>
          <w14:textFill>
            <w14:solidFill>
              <w14:schemeClr w14:val="tx1"/>
            </w14:solidFill>
          </w14:textFill>
        </w:rPr>
        <w:t>本合同第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13.1</w:t>
      </w:r>
      <w:r>
        <w:rPr>
          <w:rFonts w:hint="eastAsia" w:ascii="仿宋_GB2312" w:hAnsi="仿宋_GB2312" w:eastAsia="仿宋_GB2312" w:cs="仿宋_GB2312"/>
          <w:color w:val="000000" w:themeColor="text1"/>
          <w:sz w:val="28"/>
          <w:szCs w:val="28"/>
          <w14:textFill>
            <w14:solidFill>
              <w14:schemeClr w14:val="tx1"/>
            </w14:solidFill>
          </w14:textFill>
        </w:rPr>
        <w:t>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人民法院/仲裁机构按照上述各方当事人提供的一种或多种送达方式送达法律文书，送达时间以上述送达方式中最先送达的为准。</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pPr>
        <w:spacing w:line="5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13.3</w:t>
      </w:r>
      <w:r>
        <w:rPr>
          <w:rFonts w:hint="eastAsia" w:ascii="仿宋_GB2312" w:hAnsi="仿宋_GB2312" w:eastAsia="仿宋_GB2312" w:cs="仿宋_GB2312"/>
          <w:color w:val="000000" w:themeColor="text1"/>
          <w:sz w:val="28"/>
          <w:szCs w:val="28"/>
          <w14:textFill>
            <w14:solidFill>
              <w14:schemeClr w14:val="tx1"/>
            </w14:solidFill>
          </w14:textFill>
        </w:rPr>
        <w:t>合同送达条款为独立条款，不受合同整体或其他条款的效力的影响。</w:t>
      </w:r>
    </w:p>
    <w:p>
      <w:pPr>
        <w:pStyle w:val="70"/>
        <w:widowControl/>
        <w:spacing w:before="120" w:beforeLines="50" w:line="580" w:lineRule="exact"/>
        <w:ind w:firstLine="0"/>
        <w:jc w:val="left"/>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第十</w:t>
      </w: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条</w:t>
      </w: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 xml:space="preserve"> 履约保证金</w:t>
      </w:r>
    </w:p>
    <w:p>
      <w:pPr>
        <w:adjustRightInd w:val="0"/>
        <w:snapToGrid w:val="0"/>
        <w:spacing w:line="58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14.1</w:t>
      </w:r>
      <w:r>
        <w:rPr>
          <w:rFonts w:hint="eastAsia" w:ascii="仿宋_GB2312" w:hAnsi="仿宋_GB2312" w:eastAsia="仿宋_GB2312" w:cs="仿宋_GB2312"/>
          <w:bCs/>
          <w:color w:val="000000" w:themeColor="text1"/>
          <w:kern w:val="0"/>
          <w:sz w:val="28"/>
          <w:szCs w:val="28"/>
          <w:highlight w:val="none"/>
          <w14:textFill>
            <w14:solidFill>
              <w14:schemeClr w14:val="tx1"/>
            </w14:solidFill>
          </w14:textFill>
        </w:rPr>
        <w:t>履约保证金</w:t>
      </w:r>
      <w:r>
        <w:rPr>
          <w:rFonts w:hint="eastAsia" w:ascii="仿宋_GB2312" w:hAnsi="仿宋_GB2312" w:eastAsia="仿宋_GB2312" w:cs="仿宋_GB2312"/>
          <w:b/>
          <w:color w:val="000000" w:themeColor="text1"/>
          <w:kern w:val="0"/>
          <w:sz w:val="28"/>
          <w:szCs w:val="28"/>
          <w:highlight w:val="none"/>
          <w:lang w:bidi="ar"/>
          <w14:textFill>
            <w14:solidFill>
              <w14:schemeClr w14:val="tx1"/>
            </w14:solidFill>
          </w14:textFill>
        </w:rPr>
        <w:t xml:space="preserve"> </w:t>
      </w:r>
    </w:p>
    <w:p>
      <w:pPr>
        <w:adjustRightInd w:val="0"/>
        <w:snapToGrid w:val="0"/>
        <w:spacing w:line="580" w:lineRule="exact"/>
        <w:ind w:firstLine="560" w:firstLineChars="200"/>
        <w:jc w:val="left"/>
        <w:rPr>
          <w:rFonts w:hint="eastAsia" w:ascii="仿宋_GB2312" w:hAnsi="仿宋_GB2312" w:eastAsia="仿宋_GB2312" w:cs="仿宋_GB2312"/>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highlight w:val="none"/>
          <w:lang w:val="en-US" w:eastAsia="zh-CN" w:bidi="ar"/>
          <w14:textFill>
            <w14:solidFill>
              <w14:schemeClr w14:val="tx1"/>
            </w14:solidFill>
          </w14:textFill>
        </w:rPr>
        <w:t>14.1.1</w:t>
      </w:r>
      <w:r>
        <w:rPr>
          <w:rFonts w:hint="eastAsia" w:ascii="仿宋_GB2312" w:hAnsi="仿宋_GB2312" w:eastAsia="仿宋_GB2312" w:cs="仿宋_GB2312"/>
          <w:bCs/>
          <w:color w:val="000000" w:themeColor="text1"/>
          <w:kern w:val="0"/>
          <w:sz w:val="28"/>
          <w:szCs w:val="28"/>
          <w:highlight w:val="none"/>
          <w14:textFill>
            <w14:solidFill>
              <w14:schemeClr w14:val="tx1"/>
            </w14:solidFill>
          </w14:textFill>
        </w:rPr>
        <w:t>履约保证金=中标价的</w:t>
      </w:r>
      <w:r>
        <w:rPr>
          <w:rFonts w:hint="eastAsia" w:ascii="仿宋_GB2312" w:hAnsi="仿宋_GB2312" w:eastAsia="仿宋_GB2312" w:cs="仿宋_GB2312"/>
          <w:bCs/>
          <w:color w:val="000000" w:themeColor="text1"/>
          <w:kern w:val="0"/>
          <w:sz w:val="28"/>
          <w:szCs w:val="28"/>
          <w:highlight w:val="none"/>
          <w:u w:val="single"/>
          <w:lang w:val="en-US" w:eastAsia="zh-CN"/>
          <w14:textFill>
            <w14:solidFill>
              <w14:schemeClr w14:val="tx1"/>
            </w14:solidFill>
          </w14:textFill>
        </w:rPr>
        <w:t xml:space="preserve"> 10%  </w:t>
      </w:r>
      <w:r>
        <w:rPr>
          <w:rFonts w:hint="eastAsia" w:ascii="仿宋_GB2312" w:hAnsi="仿宋_GB2312" w:eastAsia="仿宋_GB2312" w:cs="仿宋_GB2312"/>
          <w:bCs/>
          <w:color w:val="000000" w:themeColor="text1"/>
          <w:kern w:val="0"/>
          <w:sz w:val="28"/>
          <w:szCs w:val="28"/>
          <w:highlight w:val="none"/>
          <w14:textFill>
            <w14:solidFill>
              <w14:schemeClr w14:val="tx1"/>
            </w14:solidFill>
          </w14:textFill>
        </w:rPr>
        <w:t>。</w:t>
      </w:r>
    </w:p>
    <w:p>
      <w:pPr>
        <w:pStyle w:val="82"/>
        <w:keepNext w:val="0"/>
        <w:keepLines w:val="0"/>
        <w:pageBreakBefore w:val="0"/>
        <w:kinsoku/>
        <w:overflowPunct/>
        <w:topLinePunct w:val="0"/>
        <w:autoSpaceDE/>
        <w:autoSpaceDN/>
        <w:bidi w:val="0"/>
        <w:spacing w:line="580" w:lineRule="exact"/>
        <w:ind w:firstLine="560" w:firstLineChars="200"/>
        <w:jc w:val="left"/>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14.1.2</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履约担保的形式和时间：</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履约保证金采用现金担保。现金担保必须通过乙方的基本账户以银行转账方式提交到甲方指定账户。</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提交时间为收到中标（选）通知书后</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7个工作</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日内。</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若未在约定时间内提交履约保证金，甲方有权取消乙方的中标资格，或有权要求乙方按不低于未提交担保金额的10%承担违约责任和利息。若乙方在招标文件要求的合同签订时间前仍未提交符合要求的履约担保并承担违约责任的，视为乙方放弃中标资格。</w:t>
      </w:r>
    </w:p>
    <w:p>
      <w:pPr>
        <w:pStyle w:val="82"/>
        <w:keepNext w:val="0"/>
        <w:keepLines w:val="0"/>
        <w:pageBreakBefore w:val="0"/>
        <w:kinsoku/>
        <w:overflowPunct/>
        <w:topLinePunct w:val="0"/>
        <w:autoSpaceDE/>
        <w:autoSpaceDN/>
        <w:bidi w:val="0"/>
        <w:spacing w:line="58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1</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.1.3</w:t>
      </w:r>
      <w:r>
        <w:rPr>
          <w:rFonts w:hint="eastAsia" w:ascii="仿宋_GB2312" w:hAnsi="仿宋_GB2312" w:eastAsia="仿宋_GB2312" w:cs="仿宋_GB2312"/>
          <w:bCs/>
          <w:color w:val="000000" w:themeColor="text1"/>
          <w:kern w:val="0"/>
          <w:sz w:val="28"/>
          <w:szCs w:val="28"/>
          <w:highlight w:val="none"/>
          <w14:textFill>
            <w14:solidFill>
              <w14:schemeClr w14:val="tx1"/>
            </w14:solidFill>
          </w14:textFill>
        </w:rPr>
        <w:t>履约担保的退还：乙方在履行完本合同所约定的义务后，</w:t>
      </w:r>
      <w:r>
        <w:rPr>
          <w:rFonts w:hint="eastAsia" w:ascii="仿宋_GB2312" w:hAnsi="仿宋_GB2312" w:eastAsia="仿宋_GB2312" w:cs="仿宋_GB2312"/>
          <w:bCs/>
          <w:color w:val="000000" w:themeColor="text1"/>
          <w:kern w:val="0"/>
          <w:sz w:val="28"/>
          <w:szCs w:val="28"/>
          <w:highlight w:val="none"/>
          <w:lang w:val="en-US" w:eastAsia="zh-CN"/>
          <w14:textFill>
            <w14:solidFill>
              <w14:schemeClr w14:val="tx1"/>
            </w14:solidFill>
          </w14:textFill>
        </w:rPr>
        <w:t>经甲方确认无违约或扣款事项，在</w:t>
      </w:r>
      <w:r>
        <w:rPr>
          <w:rFonts w:hint="eastAsia" w:ascii="仿宋_GB2312" w:hAnsi="仿宋_GB2312" w:eastAsia="仿宋_GB2312" w:cs="仿宋_GB2312"/>
          <w:bCs/>
          <w:color w:val="000000" w:themeColor="text1"/>
          <w:kern w:val="0"/>
          <w:sz w:val="28"/>
          <w:szCs w:val="28"/>
          <w:highlight w:val="none"/>
          <w14:textFill>
            <w14:solidFill>
              <w14:schemeClr w14:val="tx1"/>
            </w14:solidFill>
          </w14:textFill>
        </w:rPr>
        <w:t>工程竣工验收合格后，乙方可向甲方提交书面申请及相关附件，甲方在</w:t>
      </w:r>
      <w:r>
        <w:rPr>
          <w:rFonts w:hint="eastAsia" w:ascii="仿宋_GB2312" w:hAnsi="仿宋_GB2312" w:eastAsia="仿宋_GB2312" w:cs="仿宋_GB2312"/>
          <w:bCs/>
          <w:color w:val="000000" w:themeColor="text1"/>
          <w:kern w:val="0"/>
          <w:sz w:val="28"/>
          <w:szCs w:val="28"/>
          <w:highlight w:val="none"/>
          <w:lang w:val="en-US" w:eastAsia="zh-CN"/>
          <w14:textFill>
            <w14:solidFill>
              <w14:schemeClr w14:val="tx1"/>
            </w14:solidFill>
          </w14:textFill>
        </w:rPr>
        <w:t>30</w:t>
      </w:r>
      <w:r>
        <w:rPr>
          <w:rFonts w:hint="eastAsia" w:ascii="仿宋_GB2312" w:hAnsi="仿宋_GB2312" w:eastAsia="仿宋_GB2312" w:cs="仿宋_GB2312"/>
          <w:bCs/>
          <w:color w:val="000000" w:themeColor="text1"/>
          <w:kern w:val="0"/>
          <w:sz w:val="28"/>
          <w:szCs w:val="28"/>
          <w:highlight w:val="none"/>
          <w14:textFill>
            <w14:solidFill>
              <w14:schemeClr w14:val="tx1"/>
            </w14:solidFill>
          </w14:textFill>
        </w:rPr>
        <w:t>个工作日内按照乙方指定的账户无息返还履约保证金。</w:t>
      </w:r>
    </w:p>
    <w:p>
      <w:pPr>
        <w:adjustRightInd w:val="0"/>
        <w:snapToGrid w:val="0"/>
        <w:spacing w:line="580" w:lineRule="exact"/>
        <w:ind w:firstLine="560" w:firstLineChars="200"/>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1</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.1.4</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本合同约定的所有违约金</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赔偿款</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，甲方有权直接在履约保证金内予以扣除，</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须在10日内补足。 </w:t>
      </w:r>
    </w:p>
    <w:p>
      <w:pPr>
        <w:pStyle w:val="70"/>
        <w:widowControl/>
        <w:spacing w:before="120" w:beforeLines="50" w:line="580" w:lineRule="exact"/>
        <w:ind w:firstLine="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 xml:space="preserve">第十五条 </w:t>
      </w:r>
      <w:r>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t>合同生效及其他</w:t>
      </w:r>
    </w:p>
    <w:p>
      <w:pPr>
        <w:pStyle w:val="70"/>
        <w:widowControl/>
        <w:spacing w:before="120" w:beforeLines="50"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15.1乙方</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 xml:space="preserve">为本合同项目的服务至工程竣工为止。 </w:t>
      </w:r>
    </w:p>
    <w:p>
      <w:pPr>
        <w:adjustRightInd w:val="0"/>
        <w:snapToGrid w:val="0"/>
        <w:spacing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15.2</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应对勘察、设计文件的深度和质量负责，确保成果文件的真实性、准确性、有效性。若因</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的原因（包括不限于地勘报告作假等）引起的设计变更或新增工程，导致工程造价增加，超过施工合同价的3%</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含）</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，扣减10%勘察、设计费；超过</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施工合同价</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的5%</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含）</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，扣减30%勘察、设计费，并报送相关部门处理。</w:t>
      </w:r>
    </w:p>
    <w:p>
      <w:pPr>
        <w:pStyle w:val="70"/>
        <w:widowControl/>
        <w:spacing w:before="120" w:beforeLines="50"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15.3</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概、预算和招标工程量清单的编制依据</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GB50500-2013建设工程工程量清单计价规范、20</w:t>
      </w:r>
      <w:r>
        <w:rPr>
          <w:rFonts w:hint="eastAsia" w:ascii="仿宋_GB2312" w:hAnsi="仿宋_GB2312" w:eastAsia="仿宋_GB2312" w:cs="仿宋_GB2312"/>
          <w:b w:val="0"/>
          <w:bCs w:val="0"/>
          <w:color w:val="000000" w:themeColor="text1"/>
          <w:kern w:val="0"/>
          <w:sz w:val="28"/>
          <w:szCs w:val="28"/>
          <w:highlight w:val="none"/>
          <w:u w:val="singl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年《四川省建设工程量清单计价定额》</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及相关配套文件，应具有专业资质和专业人员进行编制，并对成果的真实性、准确性负责。设计概算的准确性应符合工程投资概算编制的相关要求，并及时完成</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设计</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评审提出的修改，配合完成</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相关</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设计的审查；施工图预算和招标工程量清单的编制，应严格按照施工图和选用的技术参数与标准进行编制，严禁出现漏项和超出</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《建设工程工程量清单计价规范》GB50500-2013</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规范的允许偏差范围，并对工程量清单中项目特征描述或具体做法描述应与施工图一致，同时编制单位应极积配合施工图预算的财政评审核对工作，配合提供相应的资料，并对施工图预算成果的质量负责。若因施工图预算或招标工程量清单的编制失误，导致工程漏项或漏量，造成评审审减（增）率超过施工图预算送审价10%（包含）-15%（不含）或图纸内新增工程累计增减金额超过施工单位施工合同价3%时，将扣减5%设计费；造成评审审减（增）率超过施工图预算送审价15%（包含）-20%（不含）或图纸内新增工程累计增减金额超过施工单位施工合同价5%时，将扣减10%设计费；造成评审审减（增）率超过施工图预算送审价20%（包含）或图纸内新增工程累计增减金额超过施工单位施工合同价10%时，将扣减30%设计费，并报送有关部门进行处理（因政策性调整原因除外）。</w:t>
      </w:r>
    </w:p>
    <w:p>
      <w:pPr>
        <w:pStyle w:val="70"/>
        <w:wordWrap w:val="0"/>
        <w:adjustRightInd w:val="0"/>
        <w:snapToGrid w:val="0"/>
        <w:spacing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15.4</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本工程项目中，</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不得指定建筑材料、设备的生产厂或供货商。</w:t>
      </w:r>
    </w:p>
    <w:p>
      <w:pPr>
        <w:pStyle w:val="70"/>
        <w:widowControl/>
        <w:spacing w:before="120" w:beforeLines="50"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15.5</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委托</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乙方</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 xml:space="preserve">承担本合同内容以外的工作服务，另行签订协议并支付费用。 </w:t>
      </w:r>
    </w:p>
    <w:p>
      <w:pPr>
        <w:pStyle w:val="70"/>
        <w:widowControl/>
        <w:spacing w:before="120" w:beforeLines="50"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15.6</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由于不可抗力因素致使合同无法履行时，双方应及时协商解决。</w:t>
      </w:r>
    </w:p>
    <w:p>
      <w:pPr>
        <w:pStyle w:val="70"/>
        <w:widowControl/>
        <w:spacing w:before="120" w:beforeLines="50"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15.7</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本合同双方签字盖章即生效，一式</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u w:val="single"/>
          <w:lang w:val="en-US" w:eastAsia="zh-CN"/>
          <w14:textFill>
            <w14:solidFill>
              <w14:schemeClr w14:val="tx1"/>
            </w14:solidFill>
          </w14:textFill>
        </w:rPr>
        <w:t>陆</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份，</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甲方</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u w:val="single"/>
          <w:lang w:val="en-US" w:eastAsia="zh-CN"/>
          <w14:textFill>
            <w14:solidFill>
              <w14:schemeClr w14:val="tx1"/>
            </w14:solidFill>
          </w14:textFill>
        </w:rPr>
        <w:t>肆</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 xml:space="preserve"> 份，</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乙方</w:t>
      </w:r>
      <w:r>
        <w:rPr>
          <w:rFonts w:hint="eastAsia" w:ascii="仿宋_GB2312" w:hAnsi="仿宋_GB2312" w:eastAsia="仿宋_GB2312" w:cs="仿宋_GB2312"/>
          <w:b w:val="0"/>
          <w:bCs w:val="0"/>
          <w:color w:val="000000" w:themeColor="text1"/>
          <w:kern w:val="0"/>
          <w:sz w:val="28"/>
          <w:szCs w:val="28"/>
          <w:highlight w:val="none"/>
          <w:u w:val="single"/>
          <w14:textFill>
            <w14:solidFill>
              <w14:schemeClr w14:val="tx1"/>
            </w14:solidFill>
          </w14:textFill>
        </w:rPr>
        <w:t xml:space="preserve"> 贰 </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份。</w:t>
      </w:r>
    </w:p>
    <w:p>
      <w:pPr>
        <w:pStyle w:val="70"/>
        <w:widowControl/>
        <w:spacing w:before="120" w:beforeLines="50"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15.8</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 xml:space="preserve">本合同生效后，按规定应到项目所在地审查部门备案。双方履行完合同规定的义务后，本合同即行终止。  </w:t>
      </w:r>
    </w:p>
    <w:p>
      <w:pPr>
        <w:pStyle w:val="70"/>
        <w:widowControl/>
        <w:spacing w:before="120" w:beforeLines="50"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15.9</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未尽事宜，经双方协商一致，签订补充协议，补充协议与本合同具有同等效力。</w:t>
      </w:r>
    </w:p>
    <w:p>
      <w:pPr>
        <w:pStyle w:val="70"/>
        <w:widowControl/>
        <w:spacing w:before="120" w:beforeLines="50" w:line="580" w:lineRule="exact"/>
        <w:ind w:firstLine="560" w:firstLineChars="200"/>
        <w:jc w:val="left"/>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15.10合同签署页签字处，若是法人签字，则乙方出具法定代表人身份证明；若授权代理人签字，则乙方出具法定代表人身份证明和授权委托书。</w:t>
      </w:r>
    </w:p>
    <w:p>
      <w:pPr>
        <w:pStyle w:val="70"/>
        <w:widowControl/>
        <w:spacing w:before="120" w:beforeLines="50" w:line="580" w:lineRule="exact"/>
        <w:ind w:firstLine="560" w:firstLineChars="200"/>
        <w:jc w:val="left"/>
        <w:rPr>
          <w:rFonts w:hint="default"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15.11</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甲方根据《供应商评价管理办法》对乙方进行考核，乙方应予以配合。</w:t>
      </w:r>
    </w:p>
    <w:p>
      <w:pPr>
        <w:pStyle w:val="70"/>
        <w:widowControl/>
        <w:spacing w:before="120" w:beforeLines="50" w:line="360" w:lineRule="auto"/>
        <w:jc w:val="left"/>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第十六  附件</w:t>
      </w:r>
    </w:p>
    <w:p>
      <w:pPr>
        <w:pStyle w:val="70"/>
        <w:keepNext w:val="0"/>
        <w:keepLines w:val="0"/>
        <w:pageBreakBefore w:val="0"/>
        <w:widowControl/>
        <w:kinsoku/>
        <w:overflowPunct/>
        <w:topLinePunct w:val="0"/>
        <w:autoSpaceDE/>
        <w:autoSpaceDN/>
        <w:bidi w:val="0"/>
        <w:spacing w:before="120" w:beforeLines="50" w:line="360" w:lineRule="auto"/>
        <w:ind w:firstLine="562" w:firstLineChars="200"/>
        <w:jc w:val="left"/>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1.中选通知书、履约保证金缴纳凭证</w:t>
      </w:r>
    </w:p>
    <w:p>
      <w:pPr>
        <w:pStyle w:val="70"/>
        <w:keepNext w:val="0"/>
        <w:keepLines w:val="0"/>
        <w:pageBreakBefore w:val="0"/>
        <w:widowControl/>
        <w:kinsoku/>
        <w:overflowPunct/>
        <w:topLinePunct w:val="0"/>
        <w:autoSpaceDE/>
        <w:autoSpaceDN/>
        <w:bidi w:val="0"/>
        <w:spacing w:before="120" w:beforeLines="50" w:line="360" w:lineRule="auto"/>
        <w:ind w:firstLine="562" w:firstLineChars="200"/>
        <w:jc w:val="left"/>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2.法定代表人身份证明、授权委托书</w:t>
      </w:r>
    </w:p>
    <w:p>
      <w:pPr>
        <w:pStyle w:val="70"/>
        <w:widowControl/>
        <w:spacing w:before="120" w:beforeLines="50" w:line="440" w:lineRule="exact"/>
        <w:ind w:firstLine="562" w:firstLineChars="200"/>
        <w:jc w:val="left"/>
        <w:rPr>
          <w:rFonts w:hint="eastAsia" w:ascii="仿宋_GB2312" w:hAnsi="仿宋_GB2312" w:eastAsia="仿宋_GB2312" w:cs="仿宋_GB2312"/>
          <w:b/>
          <w:bCs/>
          <w:color w:val="000000" w:themeColor="text1"/>
          <w:kern w:val="0"/>
          <w:sz w:val="28"/>
          <w:szCs w:val="28"/>
          <w:highlight w:val="none"/>
          <w14:textFill>
            <w14:solidFill>
              <w14:schemeClr w14:val="tx1"/>
            </w14:solidFill>
          </w14:textFill>
        </w:rPr>
      </w:pPr>
    </w:p>
    <w:p>
      <w:pPr>
        <w:pStyle w:val="70"/>
        <w:widowControl/>
        <w:spacing w:before="120" w:beforeLines="50" w:line="440" w:lineRule="exact"/>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（以下无正文）</w:t>
      </w:r>
    </w:p>
    <w:p>
      <w:pPr>
        <w:pStyle w:val="70"/>
        <w:widowControl/>
        <w:spacing w:before="120" w:beforeLines="50" w:line="440" w:lineRule="exact"/>
        <w:jc w:val="left"/>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br w:type="page"/>
      </w:r>
    </w:p>
    <w:p>
      <w:pPr>
        <w:tabs>
          <w:tab w:val="left" w:pos="851"/>
        </w:tabs>
        <w:spacing w:line="360" w:lineRule="auto"/>
        <w:contextualSpacing/>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（以下为签章页）</w:t>
      </w:r>
    </w:p>
    <w:tbl>
      <w:tblPr>
        <w:tblStyle w:val="28"/>
        <w:tblW w:w="9322" w:type="dxa"/>
        <w:tblInd w:w="-108" w:type="dxa"/>
        <w:tblLayout w:type="fixed"/>
        <w:tblCellMar>
          <w:top w:w="0" w:type="dxa"/>
          <w:left w:w="0" w:type="dxa"/>
          <w:bottom w:w="0" w:type="dxa"/>
          <w:right w:w="0" w:type="dxa"/>
        </w:tblCellMar>
      </w:tblPr>
      <w:tblGrid>
        <w:gridCol w:w="4853"/>
        <w:gridCol w:w="4469"/>
      </w:tblGrid>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甲方（盖章）：眉山环天水务有限公司</w:t>
            </w:r>
          </w:p>
        </w:tc>
        <w:tc>
          <w:tcPr>
            <w:tcW w:w="4469"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乙方（盖章）：</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地址：四川省眉山市仁寿县视高街道</w:t>
            </w:r>
          </w:p>
          <w:p>
            <w:pPr>
              <w:spacing w:beforeLines="0" w:afterLines="0"/>
              <w:ind w:right="-622" w:rightChars="-296"/>
              <w:rPr>
                <w:rFonts w:hint="default" w:ascii="仿宋_GB2312" w:hAnsi="Times New Roman" w:eastAsia="仿宋_GB2312"/>
                <w:color w:val="000000" w:themeColor="text1"/>
                <w:sz w:val="32"/>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钢铁水厂</w:t>
            </w:r>
          </w:p>
        </w:tc>
        <w:tc>
          <w:tcPr>
            <w:tcW w:w="4469"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地址：</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法定代表人（签章）：</w:t>
            </w:r>
          </w:p>
        </w:tc>
        <w:tc>
          <w:tcPr>
            <w:tcW w:w="4469"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法定代表人（签章）：</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委托代理人（签章）：</w:t>
            </w:r>
          </w:p>
        </w:tc>
        <w:tc>
          <w:tcPr>
            <w:tcW w:w="4469"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委托代理人（签章）：</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签署日期：</w:t>
            </w:r>
          </w:p>
        </w:tc>
        <w:tc>
          <w:tcPr>
            <w:tcW w:w="4469"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签署日期：</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联系人：</w:t>
            </w:r>
          </w:p>
        </w:tc>
        <w:tc>
          <w:tcPr>
            <w:tcW w:w="4469"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联系人：</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电话（座机）：</w:t>
            </w:r>
          </w:p>
        </w:tc>
        <w:tc>
          <w:tcPr>
            <w:tcW w:w="4469"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电话（座机）：</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传真：</w:t>
            </w:r>
          </w:p>
        </w:tc>
        <w:tc>
          <w:tcPr>
            <w:tcW w:w="4469" w:type="dxa"/>
            <w:noWrap/>
            <w:vAlign w:val="center"/>
          </w:tcPr>
          <w:p>
            <w:pPr>
              <w:spacing w:beforeLines="0" w:afterLines="0"/>
              <w:ind w:right="-622" w:rightChars="-296"/>
              <w:rPr>
                <w:rFonts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传真：</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开户银行：中国农业银行股份有限公司</w:t>
            </w:r>
          </w:p>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仁寿视高支行</w:t>
            </w:r>
          </w:p>
        </w:tc>
        <w:tc>
          <w:tcPr>
            <w:tcW w:w="4469"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开户银行：</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户名：眉山环天水务有限公司 </w:t>
            </w:r>
          </w:p>
        </w:tc>
        <w:tc>
          <w:tcPr>
            <w:tcW w:w="4469"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户名：</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开户行行号：</w:t>
            </w:r>
          </w:p>
        </w:tc>
        <w:tc>
          <w:tcPr>
            <w:tcW w:w="4469"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开户行行号：</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账</w:t>
            </w:r>
            <w:r>
              <w:rPr>
                <w:rFonts w:hint="eastAsia" w:ascii="Times New Roman" w:hAnsi="Times New Roman" w:eastAsia="仿宋_GB2312" w:cs="Times New Roman"/>
                <w:color w:val="000000" w:themeColor="text1"/>
                <w:sz w:val="28"/>
                <w:szCs w:val="28"/>
                <w14:textFill>
                  <w14:solidFill>
                    <w14:schemeClr w14:val="tx1"/>
                  </w14:solidFill>
                </w14:textFill>
              </w:rPr>
              <w:t>号：22406901040002858</w:t>
            </w:r>
          </w:p>
        </w:tc>
        <w:tc>
          <w:tcPr>
            <w:tcW w:w="4469"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账</w:t>
            </w:r>
            <w:r>
              <w:rPr>
                <w:rFonts w:hint="eastAsia" w:ascii="Times New Roman" w:hAnsi="Times New Roman" w:eastAsia="仿宋_GB2312" w:cs="Times New Roman"/>
                <w:color w:val="000000" w:themeColor="text1"/>
                <w:sz w:val="28"/>
                <w:szCs w:val="28"/>
                <w14:textFill>
                  <w14:solidFill>
                    <w14:schemeClr w14:val="tx1"/>
                  </w14:solidFill>
                </w14:textFill>
              </w:rPr>
              <w:t>号：</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邮政编码：620564</w:t>
            </w:r>
          </w:p>
        </w:tc>
        <w:tc>
          <w:tcPr>
            <w:tcW w:w="4469"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邮政编码：</w:t>
            </w:r>
          </w:p>
        </w:tc>
      </w:tr>
      <w:tr>
        <w:tblPrEx>
          <w:tblCellMar>
            <w:top w:w="0" w:type="dxa"/>
            <w:left w:w="0" w:type="dxa"/>
            <w:bottom w:w="0" w:type="dxa"/>
            <w:right w:w="0" w:type="dxa"/>
          </w:tblCellMar>
        </w:tblPrEx>
        <w:trPr>
          <w:trHeight w:val="639" w:hRule="atLeast"/>
        </w:trPr>
        <w:tc>
          <w:tcPr>
            <w:tcW w:w="4853" w:type="dxa"/>
            <w:noWrap/>
            <w:vAlign w:val="center"/>
          </w:tcPr>
          <w:p>
            <w:pPr>
              <w:spacing w:beforeLines="0" w:afterLines="0"/>
              <w:ind w:right="-622" w:rightChars="-296"/>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统一社会信用代码：</w:t>
            </w:r>
          </w:p>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915114213093737616</w:t>
            </w:r>
          </w:p>
        </w:tc>
        <w:tc>
          <w:tcPr>
            <w:tcW w:w="4469" w:type="dxa"/>
            <w:noWrap/>
            <w:vAlign w:val="center"/>
          </w:tcPr>
          <w:p>
            <w:pPr>
              <w:spacing w:beforeLines="0" w:afterLines="0"/>
              <w:ind w:right="-622" w:rightChars="-296"/>
              <w:rPr>
                <w:rFonts w:hint="eastAsia" w:ascii="仿宋_GB2312" w:hAnsi="Times New Roman" w:eastAsia="仿宋_GB2312"/>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统一社会信用代码：</w:t>
            </w:r>
          </w:p>
        </w:tc>
      </w:tr>
    </w:tbl>
    <w:p>
      <w:pPr>
        <w:pStyle w:val="2"/>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pStyle w:val="2"/>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pStyle w:val="2"/>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pStyle w:val="2"/>
        <w:rPr>
          <w:rFonts w:hint="eastAsia"/>
          <w:color w:val="000000" w:themeColor="text1"/>
          <w14:textFill>
            <w14:solidFill>
              <w14:schemeClr w14:val="tx1"/>
            </w14:solidFill>
          </w14:textFill>
        </w:rPr>
      </w:pPr>
    </w:p>
    <w:bookmarkEnd w:id="0"/>
    <w:p>
      <w:pPr>
        <w:pStyle w:val="69"/>
        <w:widowControl/>
        <w:spacing w:before="156" w:beforeLines="50" w:line="800" w:lineRule="exact"/>
        <w:jc w:val="both"/>
        <w:rPr>
          <w:rFonts w:hint="default"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附件1</w:t>
      </w:r>
    </w:p>
    <w:p>
      <w:pPr>
        <w:pStyle w:val="69"/>
        <w:widowControl/>
        <w:spacing w:before="156" w:beforeLines="50" w:line="800" w:lineRule="exact"/>
        <w:jc w:val="cente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中选通知书</w:t>
      </w: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both"/>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both"/>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both"/>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both"/>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履约保证金缴纳凭证</w:t>
      </w: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lang w:val="en-US" w:eastAsia="zh-CN"/>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center"/>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both"/>
        <w:rPr>
          <w:rFonts w:hint="eastAsia" w:ascii="宋体" w:hAnsi="宋体"/>
          <w:color w:val="000000" w:themeColor="text1"/>
          <w:kern w:val="0"/>
          <w:sz w:val="24"/>
          <w:szCs w:val="24"/>
          <w:highlight w:val="none"/>
          <w14:textFill>
            <w14:solidFill>
              <w14:schemeClr w14:val="tx1"/>
            </w14:solidFill>
          </w14:textFill>
        </w:rPr>
      </w:pPr>
    </w:p>
    <w:p>
      <w:pPr>
        <w:pStyle w:val="69"/>
        <w:widowControl/>
        <w:spacing w:before="156" w:beforeLines="50" w:line="800" w:lineRule="exact"/>
        <w:jc w:val="both"/>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p>
    <w:p>
      <w:pPr>
        <w:pStyle w:val="69"/>
        <w:widowControl/>
        <w:spacing w:before="156" w:beforeLines="50" w:line="800" w:lineRule="exact"/>
        <w:jc w:val="both"/>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附件2</w:t>
      </w:r>
    </w:p>
    <w:p>
      <w:pPr>
        <w:spacing w:beforeLines="0" w:afterLines="0" w:line="520" w:lineRule="exact"/>
        <w:jc w:val="center"/>
        <w:outlineLvl w:val="1"/>
        <w:rPr>
          <w:rFonts w:hint="eastAsia" w:ascii="楷体_GB2312" w:hAnsi="楷体_GB2312" w:eastAsia="楷体_GB2312" w:cs="楷体_GB2312"/>
          <w:b/>
          <w:color w:val="000000" w:themeColor="text1"/>
          <w:sz w:val="30"/>
          <w:szCs w:val="30"/>
          <w14:textFill>
            <w14:solidFill>
              <w14:schemeClr w14:val="tx1"/>
            </w14:solidFill>
          </w14:textFill>
        </w:rPr>
      </w:pPr>
      <w:r>
        <w:rPr>
          <w:rFonts w:hint="eastAsia" w:ascii="楷体_GB2312" w:hAnsi="楷体_GB2312" w:eastAsia="楷体_GB2312" w:cs="楷体_GB2312"/>
          <w:b/>
          <w:color w:val="000000" w:themeColor="text1"/>
          <w:sz w:val="30"/>
          <w:szCs w:val="30"/>
          <w14:textFill>
            <w14:solidFill>
              <w14:schemeClr w14:val="tx1"/>
            </w14:solidFill>
          </w14:textFill>
        </w:rPr>
        <w:t>法定代表人身份证明</w:t>
      </w:r>
    </w:p>
    <w:p>
      <w:pPr>
        <w:spacing w:beforeLines="0" w:afterLines="0" w:line="580" w:lineRule="exact"/>
        <w:rPr>
          <w:rFonts w:hint="eastAsia" w:ascii="Times New Roman" w:hAnsi="Times New Roman" w:eastAsia="Times New Roman"/>
          <w:color w:val="000000" w:themeColor="text1"/>
          <w:sz w:val="32"/>
          <w:szCs w:val="24"/>
          <w14:textFill>
            <w14:solidFill>
              <w14:schemeClr w14:val="tx1"/>
            </w14:solidFill>
          </w14:textFill>
        </w:rPr>
      </w:pPr>
    </w:p>
    <w:p>
      <w:pPr>
        <w:spacing w:beforeLines="0" w:afterLines="0" w:line="580" w:lineRule="exact"/>
        <w:ind w:right="-20"/>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单位名称：</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p>
    <w:p>
      <w:pPr>
        <w:spacing w:beforeLines="0" w:afterLines="0" w:line="580" w:lineRule="exact"/>
        <w:ind w:right="-20"/>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单位性质：</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p>
    <w:p>
      <w:pPr>
        <w:spacing w:beforeLines="0" w:afterLines="0" w:line="580" w:lineRule="exact"/>
        <w:ind w:right="-20"/>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单位地址：</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p>
    <w:p>
      <w:pPr>
        <w:tabs>
          <w:tab w:val="left" w:pos="1850"/>
          <w:tab w:val="left" w:pos="3215"/>
          <w:tab w:val="left" w:pos="3285"/>
          <w:tab w:val="left" w:pos="5115"/>
        </w:tabs>
        <w:spacing w:beforeLines="0" w:afterLines="0" w:line="580" w:lineRule="exact"/>
        <w:ind w:right="359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成立时间：</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年</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月</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日</w:t>
      </w:r>
    </w:p>
    <w:p>
      <w:pPr>
        <w:tabs>
          <w:tab w:val="left" w:pos="3940"/>
          <w:tab w:val="left" w:pos="4845"/>
          <w:tab w:val="left" w:pos="6435"/>
          <w:tab w:val="left" w:pos="8540"/>
        </w:tabs>
        <w:spacing w:before="26" w:beforeLines="0" w:afterLines="0" w:line="580" w:lineRule="exact"/>
        <w:ind w:right="309"/>
        <w:rPr>
          <w:rFonts w:hint="eastAsia" w:ascii="楷体_GB2312" w:hAnsi="楷体_GB2312" w:eastAsia="楷体_GB2312" w:cs="楷体_GB2312"/>
          <w:color w:val="000000" w:themeColor="text1"/>
          <w:sz w:val="24"/>
          <w:szCs w:val="24"/>
          <w:lang w:val="en-US" w:eastAsia="zh-CN"/>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经营期限：</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p>
    <w:p>
      <w:pPr>
        <w:spacing w:beforeLines="0" w:afterLines="0" w:line="580" w:lineRule="exact"/>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姓名：</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系</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（单位名称）的法定代表人（电话：</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w:t>
      </w:r>
    </w:p>
    <w:p>
      <w:pPr>
        <w:spacing w:before="21" w:beforeLines="0" w:afterLines="0" w:line="580" w:lineRule="exact"/>
        <w:ind w:right="-20"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特此证明。</w:t>
      </w:r>
    </w:p>
    <w:p>
      <w:pPr>
        <w:pStyle w:val="2"/>
        <w:spacing w:beforeLines="0" w:afterLines="0"/>
        <w:rPr>
          <w:rFonts w:hint="eastAsia" w:ascii="楷体_GB2312" w:hAnsi="楷体_GB2312" w:eastAsia="楷体_GB2312" w:cs="楷体_GB2312"/>
          <w:color w:val="000000" w:themeColor="text1"/>
          <w:sz w:val="24"/>
          <w:szCs w:val="24"/>
          <w14:textFill>
            <w14:solidFill>
              <w14:schemeClr w14:val="tx1"/>
            </w14:solidFill>
          </w14:textFill>
        </w:rPr>
      </w:pPr>
    </w:p>
    <w:p>
      <w:pPr>
        <w:spacing w:beforeLines="0" w:afterLines="0"/>
        <w:rPr>
          <w:rFonts w:hint="default"/>
          <w:color w:val="000000" w:themeColor="text1"/>
          <w:sz w:val="24"/>
          <w:szCs w:val="24"/>
          <w14:textFill>
            <w14:solidFill>
              <w14:schemeClr w14:val="tx1"/>
            </w14:solidFill>
          </w14:textFill>
        </w:rPr>
      </w:pPr>
    </w:p>
    <w:p>
      <w:pPr>
        <w:pStyle w:val="2"/>
        <w:spacing w:beforeLines="0" w:afterLines="0"/>
        <w:rPr>
          <w:rFonts w:hint="eastAsia"/>
          <w:color w:val="000000" w:themeColor="text1"/>
          <w:sz w:val="21"/>
          <w:szCs w:val="24"/>
          <w14:textFill>
            <w14:solidFill>
              <w14:schemeClr w14:val="tx1"/>
            </w14:solidFill>
          </w14:textFill>
        </w:rPr>
      </w:pPr>
    </w:p>
    <w:p>
      <w:pPr>
        <w:spacing w:beforeLines="0" w:afterLines="0" w:line="580" w:lineRule="exact"/>
        <w:ind w:right="-20" w:firstLine="4560" w:firstLineChars="19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公司</w:t>
      </w:r>
      <w:r>
        <w:rPr>
          <w:rFonts w:hint="eastAsia" w:ascii="楷体_GB2312" w:hAnsi="楷体_GB2312" w:eastAsia="楷体_GB2312" w:cs="楷体_GB2312"/>
          <w:color w:val="000000" w:themeColor="text1"/>
          <w:sz w:val="24"/>
          <w:szCs w:val="24"/>
          <w14:textFill>
            <w14:solidFill>
              <w14:schemeClr w14:val="tx1"/>
            </w14:solidFill>
          </w14:textFill>
        </w:rPr>
        <w:t>（盖章）</w:t>
      </w:r>
    </w:p>
    <w:p>
      <w:pPr>
        <w:spacing w:beforeLines="0" w:afterLines="0" w:line="580" w:lineRule="exact"/>
        <w:ind w:right="-20" w:firstLine="4560" w:firstLineChars="19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年</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月</w:t>
      </w:r>
      <w:r>
        <w:rPr>
          <w:rFonts w:hint="eastAsia" w:ascii="楷体_GB2312" w:hAnsi="楷体_GB2312" w:eastAsia="楷体_GB2312" w:cs="楷体_GB2312"/>
          <w:color w:val="000000" w:themeColor="text1"/>
          <w:sz w:val="24"/>
          <w:szCs w:val="24"/>
          <w:u w:val="singl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4"/>
          <w:szCs w:val="24"/>
          <w14:textFill>
            <w14:solidFill>
              <w14:schemeClr w14:val="tx1"/>
            </w14:solidFill>
          </w14:textFill>
        </w:rPr>
        <w:t>日</w:t>
      </w:r>
    </w:p>
    <w:p>
      <w:pPr>
        <w:pStyle w:val="5"/>
        <w:spacing w:before="0" w:beforeLines="0" w:afterLines="0" w:line="700" w:lineRule="exact"/>
        <w:jc w:val="center"/>
        <w:rPr>
          <w:rFonts w:hint="eastAsia" w:ascii="楷体_GB2312" w:hAnsi="楷体_GB2312" w:eastAsia="楷体_GB2312" w:cs="楷体_GB2312"/>
          <w:color w:val="000000" w:themeColor="text1"/>
          <w:sz w:val="24"/>
          <w:szCs w:val="24"/>
          <w14:textFill>
            <w14:solidFill>
              <w14:schemeClr w14:val="tx1"/>
            </w14:solidFill>
          </w14:textFill>
        </w:rPr>
      </w:pPr>
    </w:p>
    <w:p>
      <w:pPr>
        <w:spacing w:beforeLines="0" w:afterLines="0" w:line="58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附：法定代表人身份证复印件</w:t>
      </w:r>
    </w:p>
    <w:p>
      <w:pPr>
        <w:pStyle w:val="5"/>
        <w:spacing w:before="0" w:beforeLines="0" w:afterLines="0" w:line="700" w:lineRule="exact"/>
        <w:jc w:val="center"/>
        <w:rPr>
          <w:rFonts w:hint="eastAsia" w:ascii="Times New Roman" w:hAnsi="Times New Roman" w:eastAsia="Times New Roman"/>
          <w:color w:val="000000" w:themeColor="text1"/>
          <w:sz w:val="21"/>
          <w:szCs w:val="24"/>
          <w14:textFill>
            <w14:solidFill>
              <w14:schemeClr w14:val="tx1"/>
            </w14:solidFill>
          </w14:textFill>
        </w:rPr>
      </w:pPr>
      <w:r>
        <w:rPr>
          <w:rFonts w:hint="eastAsia" w:ascii="Times New Roman" w:hAnsi="Times New Roman" w:eastAsia="Times New Roman"/>
          <w:color w:val="000000" w:themeColor="text1"/>
          <w:sz w:val="30"/>
          <w:szCs w:val="24"/>
          <w14:textFill>
            <w14:solidFill>
              <w14:schemeClr w14:val="tx1"/>
            </w14:solidFill>
          </w14:textFill>
        </w:rPr>
        <w:br w:type="page"/>
      </w:r>
      <w:r>
        <w:rPr>
          <w:rFonts w:hint="eastAsia" w:ascii="楷体_GB2312" w:hAnsi="楷体_GB2312" w:eastAsia="楷体_GB2312" w:cs="楷体_GB2312"/>
          <w:color w:val="000000" w:themeColor="text1"/>
          <w:sz w:val="30"/>
          <w:szCs w:val="30"/>
          <w14:textFill>
            <w14:solidFill>
              <w14:schemeClr w14:val="tx1"/>
            </w14:solidFill>
          </w14:textFill>
        </w:rPr>
        <w:t>授权委托书</w:t>
      </w:r>
    </w:p>
    <w:p>
      <w:pPr>
        <w:spacing w:beforeLines="0" w:afterLines="0" w:line="580" w:lineRule="exact"/>
        <w:ind w:right="-20"/>
        <w:rPr>
          <w:rFonts w:hint="eastAsia" w:ascii="Times New Roman" w:hAnsi="Times New Roman" w:eastAsia="Times New Roman"/>
          <w:color w:val="000000" w:themeColor="text1"/>
          <w:sz w:val="32"/>
          <w:szCs w:val="24"/>
          <w14:textFill>
            <w14:solidFill>
              <w14:schemeClr w14:val="tx1"/>
            </w14:solidFill>
          </w14:textFill>
        </w:rPr>
      </w:pPr>
    </w:p>
    <w:p>
      <w:pPr>
        <w:autoSpaceDE/>
        <w:autoSpaceDN/>
        <w:adjustRightInd/>
        <w:spacing w:beforeLines="0" w:afterLines="0" w:line="640" w:lineRule="exact"/>
        <w:rPr>
          <w:rFonts w:hint="default"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pP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致：</w:t>
      </w:r>
      <w:r>
        <w:rPr>
          <w:rFonts w:hint="eastAsia" w:ascii="Times New Roman Regular" w:hAnsi="Times New Roman Regular" w:eastAsia="楷体_GB2312" w:cs="Times New Roman Regular"/>
          <w:color w:val="000000" w:themeColor="text1"/>
          <w:sz w:val="24"/>
          <w:szCs w:val="36"/>
          <w:lang w:val="en-US" w:eastAsia="zh-CN"/>
          <w14:textFill>
            <w14:solidFill>
              <w14:schemeClr w14:val="tx1"/>
            </w14:solidFill>
          </w14:textFill>
        </w:rPr>
        <w:t>眉山环天</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CN"/>
          <w14:textFill>
            <w14:solidFill>
              <w14:schemeClr w14:val="tx1"/>
            </w14:solidFill>
          </w14:textFill>
        </w:rPr>
        <w:t>有限</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公司</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color w:val="000000" w:themeColor="text1"/>
          <w:sz w:val="24"/>
          <w:szCs w:val="36"/>
          <w:lang w:eastAsia="zh-Hans"/>
          <w14:textFill>
            <w14:solidFill>
              <w14:schemeClr w14:val="tx1"/>
            </w14:solidFill>
          </w14:textFill>
        </w:rPr>
      </w:pPr>
      <w:r>
        <w:rPr>
          <w:rFonts w:hint="eastAsia" w:ascii="Times New Roman Regular" w:hAnsi="Times New Roman Regular" w:eastAsia="楷体_GB2312" w:cs="Times New Roman Regular"/>
          <w:color w:val="000000" w:themeColor="text1"/>
          <w:sz w:val="24"/>
          <w:szCs w:val="36"/>
          <w:lang w:val="en-US" w:eastAsia="zh-CN"/>
          <w14:textFill>
            <w14:solidFill>
              <w14:schemeClr w14:val="tx1"/>
            </w14:solidFill>
          </w14:textFill>
        </w:rPr>
        <w:t>本人</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CN"/>
          <w14:textFill>
            <w14:solidFill>
              <w14:schemeClr w14:val="tx1"/>
            </w14:solidFill>
          </w14:textFill>
        </w:rPr>
        <w:t>（身份证号码：</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CN"/>
          <w14:textFill>
            <w14:solidFill>
              <w14:schemeClr w14:val="tx1"/>
            </w14:solidFill>
          </w14:textFill>
        </w:rPr>
        <w:t>）系</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            公司</w:t>
      </w:r>
      <w:r>
        <w:rPr>
          <w:rFonts w:hint="eastAsia" w:ascii="Times New Roman Regular" w:hAnsi="Times New Roman Regular" w:eastAsia="楷体_GB2312" w:cs="Times New Roman Regular"/>
          <w:color w:val="000000" w:themeColor="text1"/>
          <w:sz w:val="24"/>
          <w:szCs w:val="36"/>
          <w:lang w:val="en-US" w:eastAsia="zh-CN"/>
          <w14:textFill>
            <w14:solidFill>
              <w14:schemeClr w14:val="tx1"/>
            </w14:solidFill>
          </w14:textFill>
        </w:rPr>
        <w:t>法定代表人，现</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授权我公司</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同志</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（职务：</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身份证号：</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u w:val="single"/>
          <w:lang w:eastAsia="zh-CN"/>
          <w14:textFill>
            <w14:solidFill>
              <w14:schemeClr w14:val="tx1"/>
            </w14:solidFill>
          </w14:textFill>
        </w:rPr>
        <w:t>，</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电话：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）作为我公司的委托代理人，以我公司名义并代表我公司处理</w:t>
      </w:r>
      <w:r>
        <w:rPr>
          <w:rFonts w:hint="eastAsia" w:ascii="Times New Roman Regular" w:hAnsi="Times New Roman Regular" w:eastAsia="楷体_GB2312" w:cs="Times New Roman Regular"/>
          <w:color w:val="000000" w:themeColor="text1"/>
          <w:sz w:val="24"/>
          <w:szCs w:val="36"/>
          <w:lang w:val="en-US" w:eastAsia="zh-CN"/>
          <w14:textFill>
            <w14:solidFill>
              <w14:schemeClr w14:val="tx1"/>
            </w14:solidFill>
          </w14:textFill>
        </w:rPr>
        <w:t>相关</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事宜，代理权限如下</w:t>
      </w:r>
      <w:r>
        <w:rPr>
          <w:rFonts w:hint="eastAsia" w:ascii="Times New Roman Regular" w:hAnsi="Times New Roman Regular" w:eastAsia="楷体_GB2312" w:cs="Times New Roman Regular"/>
          <w:color w:val="000000" w:themeColor="text1"/>
          <w:sz w:val="24"/>
          <w:szCs w:val="36"/>
          <w:lang w:eastAsia="zh-Hans"/>
          <w14:textFill>
            <w14:solidFill>
              <w14:schemeClr w14:val="tx1"/>
            </w14:solidFill>
          </w14:textFill>
        </w:rPr>
        <w:t>：</w:t>
      </w:r>
    </w:p>
    <w:p>
      <w:pPr>
        <w:numPr>
          <w:ilvl w:val="0"/>
          <w:numId w:val="2"/>
        </w:numPr>
        <w:autoSpaceDE/>
        <w:autoSpaceDN/>
        <w:adjustRightInd/>
        <w:spacing w:beforeLines="0" w:afterLines="0" w:line="640" w:lineRule="exact"/>
        <w:ind w:firstLineChars="200"/>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pP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     </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u w:val="single"/>
          <w:lang w:eastAsia="zh-CN"/>
          <w14:textFill>
            <w14:solidFill>
              <w14:schemeClr w14:val="tx1"/>
            </w14:solidFill>
          </w14:textFill>
        </w:rPr>
        <w:t>（</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合同名称</w:t>
      </w:r>
      <w:r>
        <w:rPr>
          <w:rFonts w:hint="eastAsia" w:ascii="Times New Roman Regular" w:hAnsi="Times New Roman Regular" w:eastAsia="楷体_GB2312" w:cs="Times New Roman Regular"/>
          <w:color w:val="000000" w:themeColor="text1"/>
          <w:sz w:val="24"/>
          <w:szCs w:val="36"/>
          <w:u w:val="single"/>
          <w:lang w:eastAsia="zh-CN"/>
          <w14:textFill>
            <w14:solidFill>
              <w14:schemeClr w14:val="tx1"/>
            </w14:solidFill>
          </w14:textFill>
        </w:rPr>
        <w:t>）</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合同签订事宜，合同金额：¥            元，（大写人民币：               ）；</w:t>
      </w:r>
    </w:p>
    <w:p>
      <w:pPr>
        <w:pStyle w:val="2"/>
        <w:numPr>
          <w:ilvl w:val="0"/>
          <w:numId w:val="0"/>
        </w:numPr>
        <w:autoSpaceDE/>
        <w:autoSpaceDN/>
        <w:adjustRightInd/>
        <w:spacing w:beforeLines="0" w:afterLines="0" w:line="640" w:lineRule="exact"/>
        <w:ind w:left="0"/>
        <w:rPr>
          <w:rFonts w:hint="default" w:ascii="Times New Roman Regular" w:hAnsi="Times New Roman Regular" w:eastAsia="楷体_GB2312" w:cs="Times New Roman Regular"/>
          <w:color w:val="000000" w:themeColor="text1"/>
          <w:kern w:val="2"/>
          <w:sz w:val="24"/>
          <w:szCs w:val="36"/>
          <w:u w:val="single"/>
          <w:lang w:val="en-US" w:eastAsia="zh-CN" w:bidi="ar-SA"/>
          <w14:textFill>
            <w14:solidFill>
              <w14:schemeClr w14:val="tx1"/>
            </w14:solidFill>
          </w14:textFill>
        </w:rPr>
      </w:pPr>
      <w:r>
        <w:rPr>
          <w:rFonts w:hint="eastAsia" w:ascii="Times New Roman Regular" w:hAnsi="Times New Roman Regular" w:eastAsia="楷体_GB2312" w:cs="Times New Roman Regular"/>
          <w:color w:val="000000" w:themeColor="text1"/>
          <w:kern w:val="2"/>
          <w:sz w:val="24"/>
          <w:szCs w:val="36"/>
          <w:u w:val="none"/>
          <w:lang w:val="en-US" w:eastAsia="zh-CN" w:bidi="ar-SA"/>
          <w14:textFill>
            <w14:solidFill>
              <w14:schemeClr w14:val="tx1"/>
            </w14:solidFill>
          </w14:textFill>
        </w:rPr>
        <w:t xml:space="preserve">        授权人（签名）：</w:t>
      </w:r>
      <w:r>
        <w:rPr>
          <w:rFonts w:hint="eastAsia" w:ascii="Times New Roman Regular" w:hAnsi="Times New Roman Regular" w:eastAsia="楷体_GB2312" w:cs="Times New Roman Regular"/>
          <w:color w:val="000000" w:themeColor="text1"/>
          <w:kern w:val="2"/>
          <w:sz w:val="24"/>
          <w:szCs w:val="36"/>
          <w:u w:val="single"/>
          <w:lang w:val="en-US" w:eastAsia="zh-CN" w:bidi="ar-SA"/>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kern w:val="2"/>
          <w:sz w:val="24"/>
          <w:szCs w:val="36"/>
          <w:u w:val="none"/>
          <w:lang w:val="en-US" w:eastAsia="zh-CN" w:bidi="ar-SA"/>
          <w14:textFill>
            <w14:solidFill>
              <w14:schemeClr w14:val="tx1"/>
            </w14:solidFill>
          </w14:textFill>
        </w:rPr>
        <w:t xml:space="preserve"> 被授权人（签名）：</w:t>
      </w:r>
      <w:r>
        <w:rPr>
          <w:rFonts w:hint="eastAsia" w:ascii="Times New Roman Regular" w:hAnsi="Times New Roman Regular" w:eastAsia="楷体_GB2312" w:cs="Times New Roman Regular"/>
          <w:color w:val="000000" w:themeColor="text1"/>
          <w:kern w:val="2"/>
          <w:sz w:val="24"/>
          <w:szCs w:val="36"/>
          <w:u w:val="single"/>
          <w:lang w:val="en-US" w:eastAsia="zh-CN" w:bidi="ar-SA"/>
          <w14:textFill>
            <w14:solidFill>
              <w14:schemeClr w14:val="tx1"/>
            </w14:solidFill>
          </w14:textFill>
        </w:rPr>
        <w:t xml:space="preserve">                   </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pP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授权期限：自___年</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月</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日起至___年</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月</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日止。</w:t>
      </w:r>
    </w:p>
    <w:p>
      <w:pPr>
        <w:pStyle w:val="19"/>
        <w:autoSpaceDE/>
        <w:autoSpaceDN/>
        <w:spacing w:beforeLines="0" w:afterLines="0" w:line="640" w:lineRule="exact"/>
        <w:ind w:firstLine="480" w:firstLineChars="200"/>
        <w:rPr>
          <w:rFonts w:hint="default" w:ascii="Times New Roman Regular" w:hAnsi="Times New Roman Regular" w:eastAsia="仿宋_GB2312" w:cs="Times New Roman Regular"/>
          <w:snapToGrid w:val="0"/>
          <w:color w:val="000000" w:themeColor="text1"/>
          <w:sz w:val="24"/>
          <w:szCs w:val="21"/>
          <w14:textFill>
            <w14:solidFill>
              <w14:schemeClr w14:val="tx1"/>
            </w14:solidFill>
          </w14:textFill>
        </w:rPr>
      </w:pP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上述授权范围和授权期限内委托代理人所实施的行为具有法律效力本公司予以认可并承担相应的法律后果。此授权委托书传真件无效。</w:t>
      </w:r>
    </w:p>
    <w:p>
      <w:pPr>
        <w:pStyle w:val="2"/>
        <w:widowControl/>
        <w:autoSpaceDE/>
        <w:autoSpaceDN/>
        <w:adjustRightInd/>
        <w:spacing w:beforeLines="0" w:afterLines="0" w:line="640" w:lineRule="exact"/>
        <w:ind w:firstLine="480" w:firstLineChars="200"/>
        <w:rPr>
          <w:rFonts w:hint="default" w:ascii="Times New Roman Regular" w:hAnsi="Times New Roman Regular" w:eastAsia="楷体_GB2312" w:cs="Times New Roman Regular"/>
          <w:color w:val="000000" w:themeColor="text1"/>
          <w:sz w:val="24"/>
          <w:szCs w:val="36"/>
          <w:lang w:val="en-US" w:eastAsia="zh-Hans" w:bidi="ar-SA"/>
          <w14:textFill>
            <w14:solidFill>
              <w14:schemeClr w14:val="tx1"/>
            </w14:solidFill>
          </w14:textFill>
        </w:rPr>
      </w:pPr>
      <w:r>
        <w:rPr>
          <w:rFonts w:hint="eastAsia" w:ascii="Times New Roman Regular" w:hAnsi="Times New Roman Regular" w:eastAsia="楷体_GB2312" w:cs="Times New Roman Regular"/>
          <w:color w:val="000000" w:themeColor="text1"/>
          <w:sz w:val="24"/>
          <w:szCs w:val="36"/>
          <w:lang w:val="en-US" w:eastAsia="zh-Hans" w:bidi="ar-SA"/>
          <w14:textFill>
            <w14:solidFill>
              <w14:schemeClr w14:val="tx1"/>
            </w14:solidFill>
          </w14:textFill>
        </w:rPr>
        <w:t>委托代理人无转委托权。</w:t>
      </w:r>
    </w:p>
    <w:p>
      <w:pPr>
        <w:autoSpaceDE/>
        <w:autoSpaceDN/>
        <w:spacing w:beforeLines="0" w:afterLines="0" w:line="640" w:lineRule="exact"/>
        <w:rPr>
          <w:rFonts w:hint="default" w:ascii="Times New Roman Regular" w:hAnsi="Times New Roman Regular" w:eastAsia="楷体_GB2312" w:cs="Times New Roman Regular"/>
          <w:color w:val="000000" w:themeColor="text1"/>
          <w:sz w:val="24"/>
          <w:szCs w:val="36"/>
          <w:lang w:val="en-US" w:eastAsia="zh-Hans" w:bidi="ar-SA"/>
          <w14:textFill>
            <w14:solidFill>
              <w14:schemeClr w14:val="tx1"/>
            </w14:solidFill>
          </w14:textFill>
        </w:rPr>
      </w:pPr>
    </w:p>
    <w:p>
      <w:pPr>
        <w:autoSpaceDE/>
        <w:autoSpaceDN/>
        <w:spacing w:beforeLines="0" w:afterLines="0" w:line="640" w:lineRule="exact"/>
        <w:rPr>
          <w:rFonts w:hint="default" w:ascii="Times New Roman Regular" w:hAnsi="Times New Roman Regular" w:eastAsia="宋体" w:cs="Times New Roman Regular"/>
          <w:color w:val="000000" w:themeColor="text1"/>
          <w:sz w:val="24"/>
          <w:szCs w:val="24"/>
          <w:lang w:val="en-US" w:eastAsia="zh-Hans"/>
          <w14:textFill>
            <w14:solidFill>
              <w14:schemeClr w14:val="tx1"/>
            </w14:solidFill>
          </w14:textFill>
        </w:rPr>
      </w:pPr>
    </w:p>
    <w:p>
      <w:pPr>
        <w:autoSpaceDE/>
        <w:autoSpaceDN/>
        <w:adjustRightInd/>
        <w:spacing w:beforeLines="0" w:afterLines="0" w:line="640" w:lineRule="exact"/>
        <w:ind w:firstLine="5040" w:firstLineChars="2100"/>
        <w:rPr>
          <w:rFonts w:hint="default" w:ascii="Times New Roman Regular" w:hAnsi="Times New Roman Regular" w:eastAsia="楷体_GB2312" w:cs="Times New Roman Regular"/>
          <w:color w:val="000000" w:themeColor="text1"/>
          <w:sz w:val="24"/>
          <w:szCs w:val="36"/>
          <w:lang w:eastAsia="zh-Hans"/>
          <w14:textFill>
            <w14:solidFill>
              <w14:schemeClr w14:val="tx1"/>
            </w14:solidFill>
          </w14:textFill>
        </w:rPr>
      </w:pP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公司</w:t>
      </w:r>
      <w:r>
        <w:rPr>
          <w:rFonts w:hint="eastAsia" w:ascii="Times New Roman Regular" w:hAnsi="Times New Roman Regular" w:eastAsia="楷体_GB2312" w:cs="Times New Roman Regular"/>
          <w:color w:val="000000" w:themeColor="text1"/>
          <w:sz w:val="24"/>
          <w:szCs w:val="36"/>
          <w:lang w:eastAsia="zh-Hans"/>
          <w14:textFill>
            <w14:solidFill>
              <w14:schemeClr w14:val="tx1"/>
            </w14:solidFill>
          </w14:textFill>
        </w:rPr>
        <w:t>（</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盖章</w:t>
      </w:r>
      <w:r>
        <w:rPr>
          <w:rFonts w:hint="eastAsia" w:ascii="Times New Roman Regular" w:hAnsi="Times New Roman Regular" w:eastAsia="楷体_GB2312" w:cs="Times New Roman Regular"/>
          <w:color w:val="000000" w:themeColor="text1"/>
          <w:sz w:val="24"/>
          <w:szCs w:val="36"/>
          <w:lang w:eastAsia="zh-Hans"/>
          <w14:textFill>
            <w14:solidFill>
              <w14:schemeClr w14:val="tx1"/>
            </w14:solidFill>
          </w14:textFill>
        </w:rPr>
        <w:t>）</w:t>
      </w:r>
    </w:p>
    <w:p>
      <w:pPr>
        <w:pStyle w:val="2"/>
        <w:autoSpaceDE/>
        <w:autoSpaceDN/>
        <w:adjustRightInd/>
        <w:spacing w:beforeLines="0" w:afterLines="0" w:line="640" w:lineRule="exact"/>
        <w:ind w:firstLine="6000" w:firstLineChars="2500"/>
        <w:rPr>
          <w:rFonts w:hint="default"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pPr>
      <w:r>
        <w:rPr>
          <w:rFonts w:hint="default" w:ascii="Times New Roman Regular" w:hAnsi="Times New Roman Regular" w:eastAsia="楷体_GB2312" w:cs="Times New Roman Regular"/>
          <w:color w:val="000000" w:themeColor="text1"/>
          <w:sz w:val="24"/>
          <w:szCs w:val="36"/>
          <w:u w:val="single"/>
          <w:lang w:val="en-US" w:eastAsia="zh-Hans"/>
          <w14:textFill>
            <w14:solidFill>
              <w14:schemeClr w14:val="tx1"/>
            </w14:solidFill>
          </w14:textFill>
        </w:rPr>
        <w:t>__</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  </w:t>
      </w:r>
      <w:r>
        <w:rPr>
          <w:rFonts w:hint="default" w:ascii="Times New Roman Regular" w:hAnsi="Times New Roman Regular" w:eastAsia="楷体_GB2312" w:cs="Times New Roman Regular"/>
          <w:color w:val="000000" w:themeColor="text1"/>
          <w:sz w:val="24"/>
          <w:szCs w:val="36"/>
          <w:u w:val="single"/>
          <w:lang w:val="en-US" w:eastAsia="zh-Hans"/>
          <w14:textFill>
            <w14:solidFill>
              <w14:schemeClr w14:val="tx1"/>
            </w14:solidFill>
          </w14:textFill>
        </w:rPr>
        <w:t>_</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年</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  </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月</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u w:val="single"/>
          <w:lang w:val="en-US" w:eastAsia="zh-CN"/>
          <w14:textFill>
            <w14:solidFill>
              <w14:schemeClr w14:val="tx1"/>
            </w14:solidFill>
          </w14:textFill>
        </w:rPr>
        <w:t xml:space="preserve">  </w:t>
      </w:r>
      <w:r>
        <w:rPr>
          <w:rFonts w:hint="default" w:ascii="Times New Roman Regular" w:hAnsi="Times New Roman Regular" w:eastAsia="楷体_GB2312" w:cs="Times New Roman Regular"/>
          <w:color w:val="000000" w:themeColor="text1"/>
          <w:sz w:val="24"/>
          <w:szCs w:val="36"/>
          <w:u w:val="single"/>
          <w:lang w:eastAsia="zh-Hans"/>
          <w14:textFill>
            <w14:solidFill>
              <w14:schemeClr w14:val="tx1"/>
            </w14:solidFill>
          </w14:textFill>
        </w:rPr>
        <w:t xml:space="preserve"> </w:t>
      </w:r>
      <w:r>
        <w:rPr>
          <w:rFonts w:hint="eastAsia"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t>日</w:t>
      </w:r>
    </w:p>
    <w:p>
      <w:pPr>
        <w:autoSpaceDE/>
        <w:autoSpaceDN/>
        <w:spacing w:beforeLines="0" w:afterLines="0" w:line="640" w:lineRule="exact"/>
        <w:rPr>
          <w:rFonts w:hint="default" w:ascii="Times New Roman Regular" w:hAnsi="Times New Roman Regular" w:eastAsia="楷体_GB2312" w:cs="Times New Roman Regular"/>
          <w:color w:val="000000" w:themeColor="text1"/>
          <w:sz w:val="24"/>
          <w:szCs w:val="36"/>
          <w:lang w:val="en-US" w:eastAsia="zh-Hans"/>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Times New Roman Regular" w:hAnsi="Times New Roman Regular" w:eastAsia="楷体_GB2312" w:cs="Times New Roman Regular"/>
          <w:color w:val="000000" w:themeColor="text1"/>
          <w:sz w:val="24"/>
          <w:szCs w:val="36"/>
          <w:lang w:val="en-US" w:eastAsia="zh-Hans" w:bidi="ar-SA"/>
          <w14:textFill>
            <w14:solidFill>
              <w14:schemeClr w14:val="tx1"/>
            </w14:solidFill>
          </w14:textFill>
        </w:rPr>
        <w:t>附</w:t>
      </w:r>
      <w:r>
        <w:rPr>
          <w:rFonts w:hint="eastAsia" w:ascii="Times New Roman Regular" w:hAnsi="Times New Roman Regular" w:eastAsia="楷体_GB2312" w:cs="Times New Roman Regular"/>
          <w:color w:val="000000" w:themeColor="text1"/>
          <w:sz w:val="24"/>
          <w:szCs w:val="36"/>
          <w:lang w:eastAsia="zh-Hans" w:bidi="ar-SA"/>
          <w14:textFill>
            <w14:solidFill>
              <w14:schemeClr w14:val="tx1"/>
            </w14:solidFill>
          </w14:textFill>
        </w:rPr>
        <w:t>：</w:t>
      </w:r>
      <w:r>
        <w:rPr>
          <w:rFonts w:hint="eastAsia" w:ascii="Times New Roman Regular" w:hAnsi="Times New Roman Regular" w:eastAsia="楷体_GB2312" w:cs="Times New Roman Regular"/>
          <w:color w:val="000000" w:themeColor="text1"/>
          <w:sz w:val="24"/>
          <w:szCs w:val="36"/>
          <w:lang w:val="en-US" w:eastAsia="zh-CN" w:bidi="ar-SA"/>
          <w14:textFill>
            <w14:solidFill>
              <w14:schemeClr w14:val="tx1"/>
            </w14:solidFill>
          </w14:textFill>
        </w:rPr>
        <w:t>法定代表人身份证复印件、</w:t>
      </w:r>
      <w:r>
        <w:rPr>
          <w:rFonts w:hint="eastAsia" w:ascii="Times New Roman Regular" w:hAnsi="Times New Roman Regular" w:eastAsia="楷体_GB2312" w:cs="Times New Roman Regular"/>
          <w:color w:val="000000" w:themeColor="text1"/>
          <w:sz w:val="24"/>
          <w:szCs w:val="36"/>
          <w:lang w:val="en-US" w:eastAsia="zh-Hans" w:bidi="ar-SA"/>
          <w14:textFill>
            <w14:solidFill>
              <w14:schemeClr w14:val="tx1"/>
            </w14:solidFill>
          </w14:textFill>
        </w:rPr>
        <w:t>委托代理人身份证复印件</w:t>
      </w:r>
    </w:p>
    <w:sectPr>
      <w:footerReference r:id="rId4" w:type="default"/>
      <w:pgSz w:w="11907" w:h="16840"/>
      <w:pgMar w:top="1440" w:right="1800" w:bottom="1440" w:left="1800"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765810" cy="2692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765810" cy="269240"/>
                      </a:xfrm>
                      <a:prstGeom prst="rect">
                        <a:avLst/>
                      </a:prstGeom>
                      <a:noFill/>
                      <a:ln w="15875">
                        <a:noFill/>
                      </a:ln>
                    </wps:spPr>
                    <wps:txbx>
                      <w:txbxContent>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lIns="0" tIns="0" rIns="0" bIns="0" upright="0"/>
                  </wps:wsp>
                </a:graphicData>
              </a:graphic>
            </wp:anchor>
          </w:drawing>
        </mc:Choice>
        <mc:Fallback>
          <w:pict>
            <v:shape id="文本框 2" o:spid="_x0000_s1026" o:spt="202" type="#_x0000_t202" style="position:absolute;left:0pt;margin-top:-10.2pt;height:21.2pt;width:60.3pt;mso-position-horizontal:outside;mso-position-horizontal-relative:margin;z-index:251659264;mso-width-relative:page;mso-height-relative:page;" filled="f" stroked="f" coordsize="21600,21600" o:gfxdata="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5AYhbVAAAABwEAAA8AAAAAAAAAAQAgAAAAIgAAAGRycy9kb3ducmV2Lnht&#10;bFBLAQIUABQAAAAIAIdO4kA0cegPwwEAAHsDAAAOAAAAAAAAAAEAIAAAACQBAABkcnMvZTJvRG9j&#10;LnhtbFBLBQYAAAAABgAGAFkBAABZBQAAAAA=&#10;">
              <v:fill on="f" focussize="0,0"/>
              <v:stroke on="f" weight="1.25pt"/>
              <v:imagedata o:title=""/>
              <o:lock v:ext="edit" aspectratio="f"/>
              <v:textbox inset="0mm,0mm,0mm,0mm">
                <w:txbxContent>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hint="eastAsia"/>
        <w:highlight w:val="gre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B5074"/>
    <w:multiLevelType w:val="singleLevel"/>
    <w:tmpl w:val="F06B5074"/>
    <w:lvl w:ilvl="0" w:tentative="0">
      <w:start w:val="7"/>
      <w:numFmt w:val="chineseCounting"/>
      <w:suff w:val="space"/>
      <w:lvlText w:val="第%1条"/>
      <w:lvlJc w:val="left"/>
      <w:rPr>
        <w:rFonts w:hint="eastAsia"/>
      </w:rPr>
    </w:lvl>
  </w:abstractNum>
  <w:abstractNum w:abstractNumId="1">
    <w:nsid w:val="5F907E1D"/>
    <w:multiLevelType w:val="multilevel"/>
    <w:tmpl w:val="5F907E1D"/>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ZTJkMjVjMjg1MTkxMjNmYjZjODQxNTZiMGRkNGIifQ=="/>
  </w:docVars>
  <w:rsids>
    <w:rsidRoot w:val="009B45CC"/>
    <w:rsid w:val="00006269"/>
    <w:rsid w:val="00012D92"/>
    <w:rsid w:val="000200E8"/>
    <w:rsid w:val="0003054E"/>
    <w:rsid w:val="00042CF8"/>
    <w:rsid w:val="00062BD2"/>
    <w:rsid w:val="000E48C1"/>
    <w:rsid w:val="001124B8"/>
    <w:rsid w:val="00135223"/>
    <w:rsid w:val="001408D6"/>
    <w:rsid w:val="001433A1"/>
    <w:rsid w:val="00192C70"/>
    <w:rsid w:val="001A088E"/>
    <w:rsid w:val="001C275D"/>
    <w:rsid w:val="001E6065"/>
    <w:rsid w:val="00246AAF"/>
    <w:rsid w:val="00257ABF"/>
    <w:rsid w:val="002B1E61"/>
    <w:rsid w:val="00365FE4"/>
    <w:rsid w:val="003C57E7"/>
    <w:rsid w:val="003D616F"/>
    <w:rsid w:val="003F6D68"/>
    <w:rsid w:val="00404FE8"/>
    <w:rsid w:val="00406CA2"/>
    <w:rsid w:val="004715F5"/>
    <w:rsid w:val="00472496"/>
    <w:rsid w:val="00486719"/>
    <w:rsid w:val="004C636F"/>
    <w:rsid w:val="004D5179"/>
    <w:rsid w:val="00540D6F"/>
    <w:rsid w:val="005664C7"/>
    <w:rsid w:val="00571CAD"/>
    <w:rsid w:val="005E02BC"/>
    <w:rsid w:val="00637EAF"/>
    <w:rsid w:val="00671B92"/>
    <w:rsid w:val="00674131"/>
    <w:rsid w:val="00686862"/>
    <w:rsid w:val="00744385"/>
    <w:rsid w:val="00746433"/>
    <w:rsid w:val="007A2426"/>
    <w:rsid w:val="007F7C9C"/>
    <w:rsid w:val="00802D91"/>
    <w:rsid w:val="00820117"/>
    <w:rsid w:val="00840F46"/>
    <w:rsid w:val="00860605"/>
    <w:rsid w:val="00877A55"/>
    <w:rsid w:val="008B28FA"/>
    <w:rsid w:val="008B2CE9"/>
    <w:rsid w:val="008F00F8"/>
    <w:rsid w:val="008F6966"/>
    <w:rsid w:val="00901F5F"/>
    <w:rsid w:val="00916A7A"/>
    <w:rsid w:val="0091766B"/>
    <w:rsid w:val="00937A90"/>
    <w:rsid w:val="009536F7"/>
    <w:rsid w:val="0095618F"/>
    <w:rsid w:val="009A11FA"/>
    <w:rsid w:val="009B3AF6"/>
    <w:rsid w:val="009D092F"/>
    <w:rsid w:val="009E72A4"/>
    <w:rsid w:val="00A80553"/>
    <w:rsid w:val="00AA6341"/>
    <w:rsid w:val="00B5280F"/>
    <w:rsid w:val="00BA74A3"/>
    <w:rsid w:val="00BB0CFD"/>
    <w:rsid w:val="00BB1A38"/>
    <w:rsid w:val="00BD79E4"/>
    <w:rsid w:val="00BF26AB"/>
    <w:rsid w:val="00C0137A"/>
    <w:rsid w:val="00C328CB"/>
    <w:rsid w:val="00C36132"/>
    <w:rsid w:val="00C86384"/>
    <w:rsid w:val="00D0438E"/>
    <w:rsid w:val="00D12FB7"/>
    <w:rsid w:val="00D520D4"/>
    <w:rsid w:val="00D61B34"/>
    <w:rsid w:val="00D674BB"/>
    <w:rsid w:val="00DB162B"/>
    <w:rsid w:val="00DB59E3"/>
    <w:rsid w:val="00DD74A6"/>
    <w:rsid w:val="00E04CAC"/>
    <w:rsid w:val="00E94B90"/>
    <w:rsid w:val="00ED78CD"/>
    <w:rsid w:val="00F04CEE"/>
    <w:rsid w:val="00F17E09"/>
    <w:rsid w:val="00F226D3"/>
    <w:rsid w:val="00F2772C"/>
    <w:rsid w:val="00F80512"/>
    <w:rsid w:val="00FA1AED"/>
    <w:rsid w:val="01386174"/>
    <w:rsid w:val="01420225"/>
    <w:rsid w:val="028C4E03"/>
    <w:rsid w:val="03E42C2E"/>
    <w:rsid w:val="04FA5358"/>
    <w:rsid w:val="05F01F08"/>
    <w:rsid w:val="07823A2A"/>
    <w:rsid w:val="081E0D4B"/>
    <w:rsid w:val="082F293A"/>
    <w:rsid w:val="08D14A49"/>
    <w:rsid w:val="08E70FC2"/>
    <w:rsid w:val="09677524"/>
    <w:rsid w:val="09AF3A74"/>
    <w:rsid w:val="09CD077C"/>
    <w:rsid w:val="0A1C7F54"/>
    <w:rsid w:val="0B3C7C36"/>
    <w:rsid w:val="0B4464DB"/>
    <w:rsid w:val="0B90411C"/>
    <w:rsid w:val="0C461033"/>
    <w:rsid w:val="0CB822AF"/>
    <w:rsid w:val="0CFA1809"/>
    <w:rsid w:val="0D0271D9"/>
    <w:rsid w:val="0D2026D6"/>
    <w:rsid w:val="0D5B0553"/>
    <w:rsid w:val="0DB76478"/>
    <w:rsid w:val="0DD80EB2"/>
    <w:rsid w:val="0DEF6D2A"/>
    <w:rsid w:val="0DFD57A5"/>
    <w:rsid w:val="0E117395"/>
    <w:rsid w:val="0E150D58"/>
    <w:rsid w:val="0E1B2B7E"/>
    <w:rsid w:val="0EBA459E"/>
    <w:rsid w:val="0EF666AD"/>
    <w:rsid w:val="0F1B4006"/>
    <w:rsid w:val="0FEA4C25"/>
    <w:rsid w:val="108D4EB7"/>
    <w:rsid w:val="10EF4743"/>
    <w:rsid w:val="11727EBA"/>
    <w:rsid w:val="11CB0442"/>
    <w:rsid w:val="11E36C1E"/>
    <w:rsid w:val="12170FD6"/>
    <w:rsid w:val="12847A15"/>
    <w:rsid w:val="12AB4939"/>
    <w:rsid w:val="12E953E4"/>
    <w:rsid w:val="12EE2F27"/>
    <w:rsid w:val="139D0EF0"/>
    <w:rsid w:val="140159CD"/>
    <w:rsid w:val="14430D32"/>
    <w:rsid w:val="1497706C"/>
    <w:rsid w:val="14F37B73"/>
    <w:rsid w:val="15B21729"/>
    <w:rsid w:val="15E60103"/>
    <w:rsid w:val="1603671C"/>
    <w:rsid w:val="163E5A43"/>
    <w:rsid w:val="16A600EB"/>
    <w:rsid w:val="17592EAF"/>
    <w:rsid w:val="177627E1"/>
    <w:rsid w:val="177F45D8"/>
    <w:rsid w:val="1786328C"/>
    <w:rsid w:val="17B3520D"/>
    <w:rsid w:val="19773E4D"/>
    <w:rsid w:val="19CD1810"/>
    <w:rsid w:val="1A030D09"/>
    <w:rsid w:val="1A451AB7"/>
    <w:rsid w:val="1B2056CA"/>
    <w:rsid w:val="1B457D3E"/>
    <w:rsid w:val="1C1D1EA7"/>
    <w:rsid w:val="1C3C75F9"/>
    <w:rsid w:val="1C4A6A4D"/>
    <w:rsid w:val="1C740BE6"/>
    <w:rsid w:val="1C8F56B1"/>
    <w:rsid w:val="1CE36392"/>
    <w:rsid w:val="1CF653B1"/>
    <w:rsid w:val="1D347C51"/>
    <w:rsid w:val="1D5F4755"/>
    <w:rsid w:val="1DDC34D0"/>
    <w:rsid w:val="1E501890"/>
    <w:rsid w:val="1EC07982"/>
    <w:rsid w:val="1EE800F5"/>
    <w:rsid w:val="1F525AC4"/>
    <w:rsid w:val="22600B35"/>
    <w:rsid w:val="22D26249"/>
    <w:rsid w:val="2322310E"/>
    <w:rsid w:val="2349711D"/>
    <w:rsid w:val="2353361E"/>
    <w:rsid w:val="23670D27"/>
    <w:rsid w:val="244E26A8"/>
    <w:rsid w:val="24AC2555"/>
    <w:rsid w:val="24C06BD9"/>
    <w:rsid w:val="24DE7635"/>
    <w:rsid w:val="25365823"/>
    <w:rsid w:val="25EC765A"/>
    <w:rsid w:val="28A5080B"/>
    <w:rsid w:val="29683B41"/>
    <w:rsid w:val="2974154F"/>
    <w:rsid w:val="29C12EDE"/>
    <w:rsid w:val="2A1F1783"/>
    <w:rsid w:val="2A5E2873"/>
    <w:rsid w:val="2ACE4067"/>
    <w:rsid w:val="2B7D69A3"/>
    <w:rsid w:val="2B90604B"/>
    <w:rsid w:val="2C120886"/>
    <w:rsid w:val="2CD362B3"/>
    <w:rsid w:val="2D633FDD"/>
    <w:rsid w:val="2ECC18BC"/>
    <w:rsid w:val="2EE97526"/>
    <w:rsid w:val="2F27074A"/>
    <w:rsid w:val="2F745315"/>
    <w:rsid w:val="2FBC180A"/>
    <w:rsid w:val="2FE6305E"/>
    <w:rsid w:val="30521BA0"/>
    <w:rsid w:val="30C63212"/>
    <w:rsid w:val="31746A65"/>
    <w:rsid w:val="31B23B31"/>
    <w:rsid w:val="31FD636D"/>
    <w:rsid w:val="32224C20"/>
    <w:rsid w:val="323E60BE"/>
    <w:rsid w:val="32C9219A"/>
    <w:rsid w:val="33EF7127"/>
    <w:rsid w:val="34090D09"/>
    <w:rsid w:val="34E972A0"/>
    <w:rsid w:val="35137922"/>
    <w:rsid w:val="351652AF"/>
    <w:rsid w:val="351F4C03"/>
    <w:rsid w:val="35513584"/>
    <w:rsid w:val="35AC0EDE"/>
    <w:rsid w:val="35FA2C53"/>
    <w:rsid w:val="36C065EC"/>
    <w:rsid w:val="36F534C3"/>
    <w:rsid w:val="37481582"/>
    <w:rsid w:val="37757DC3"/>
    <w:rsid w:val="38032F84"/>
    <w:rsid w:val="384375D2"/>
    <w:rsid w:val="38604BDA"/>
    <w:rsid w:val="388C737A"/>
    <w:rsid w:val="389B041D"/>
    <w:rsid w:val="38E414F2"/>
    <w:rsid w:val="39083B84"/>
    <w:rsid w:val="39E113AD"/>
    <w:rsid w:val="3A1B18FD"/>
    <w:rsid w:val="3A8829E6"/>
    <w:rsid w:val="3ABE655F"/>
    <w:rsid w:val="3ABF6E51"/>
    <w:rsid w:val="3ACA102F"/>
    <w:rsid w:val="3C022E21"/>
    <w:rsid w:val="3C4F4BA4"/>
    <w:rsid w:val="3C9D5CE8"/>
    <w:rsid w:val="3CA60862"/>
    <w:rsid w:val="3CB5506F"/>
    <w:rsid w:val="3CF5659E"/>
    <w:rsid w:val="3D3573FA"/>
    <w:rsid w:val="3D5961A3"/>
    <w:rsid w:val="3D95207C"/>
    <w:rsid w:val="3DCD773E"/>
    <w:rsid w:val="3DE04EBA"/>
    <w:rsid w:val="3FCE3465"/>
    <w:rsid w:val="4039538C"/>
    <w:rsid w:val="406F23FC"/>
    <w:rsid w:val="40C41C0B"/>
    <w:rsid w:val="412C09FA"/>
    <w:rsid w:val="41C5288E"/>
    <w:rsid w:val="421D2F2C"/>
    <w:rsid w:val="42972B80"/>
    <w:rsid w:val="42AC4089"/>
    <w:rsid w:val="42E12FED"/>
    <w:rsid w:val="42EB344F"/>
    <w:rsid w:val="42F22E5F"/>
    <w:rsid w:val="430D0DC7"/>
    <w:rsid w:val="436A27CF"/>
    <w:rsid w:val="438C1029"/>
    <w:rsid w:val="44003E7F"/>
    <w:rsid w:val="44041FAC"/>
    <w:rsid w:val="443E486F"/>
    <w:rsid w:val="44717037"/>
    <w:rsid w:val="44C53C27"/>
    <w:rsid w:val="44C663E1"/>
    <w:rsid w:val="44CC6B68"/>
    <w:rsid w:val="44FE2C69"/>
    <w:rsid w:val="45387C3F"/>
    <w:rsid w:val="45476DC6"/>
    <w:rsid w:val="458929FD"/>
    <w:rsid w:val="45AB166D"/>
    <w:rsid w:val="45AE294F"/>
    <w:rsid w:val="45DA5583"/>
    <w:rsid w:val="46091234"/>
    <w:rsid w:val="46106161"/>
    <w:rsid w:val="46470112"/>
    <w:rsid w:val="46634593"/>
    <w:rsid w:val="468339D4"/>
    <w:rsid w:val="46B41994"/>
    <w:rsid w:val="46BF02F7"/>
    <w:rsid w:val="46E62A56"/>
    <w:rsid w:val="46EF54A7"/>
    <w:rsid w:val="482839A2"/>
    <w:rsid w:val="4856450E"/>
    <w:rsid w:val="48CD4411"/>
    <w:rsid w:val="48FD1EC4"/>
    <w:rsid w:val="49431B37"/>
    <w:rsid w:val="49781705"/>
    <w:rsid w:val="49A7162F"/>
    <w:rsid w:val="4A066F21"/>
    <w:rsid w:val="4A3C32B1"/>
    <w:rsid w:val="4AF22A01"/>
    <w:rsid w:val="4AF3041B"/>
    <w:rsid w:val="4B9205B7"/>
    <w:rsid w:val="4C3731A2"/>
    <w:rsid w:val="4C512832"/>
    <w:rsid w:val="4CC943F1"/>
    <w:rsid w:val="4CE051B7"/>
    <w:rsid w:val="4CF83D3D"/>
    <w:rsid w:val="4D025D1C"/>
    <w:rsid w:val="4D5649C8"/>
    <w:rsid w:val="4FFC2C17"/>
    <w:rsid w:val="50E22D48"/>
    <w:rsid w:val="513E19F2"/>
    <w:rsid w:val="51973398"/>
    <w:rsid w:val="51CC4834"/>
    <w:rsid w:val="51D41B82"/>
    <w:rsid w:val="51E01B26"/>
    <w:rsid w:val="526363DB"/>
    <w:rsid w:val="52783E33"/>
    <w:rsid w:val="52851EB2"/>
    <w:rsid w:val="53B62DA6"/>
    <w:rsid w:val="5493174B"/>
    <w:rsid w:val="54E55547"/>
    <w:rsid w:val="556B65ED"/>
    <w:rsid w:val="558B2E14"/>
    <w:rsid w:val="55BB457E"/>
    <w:rsid w:val="56717D8F"/>
    <w:rsid w:val="581F7612"/>
    <w:rsid w:val="58D20731"/>
    <w:rsid w:val="59A57D62"/>
    <w:rsid w:val="59AD12D6"/>
    <w:rsid w:val="59BF579F"/>
    <w:rsid w:val="59D009FC"/>
    <w:rsid w:val="5A57032F"/>
    <w:rsid w:val="5A8F1B45"/>
    <w:rsid w:val="5AD87578"/>
    <w:rsid w:val="5B5D1B8D"/>
    <w:rsid w:val="5B675539"/>
    <w:rsid w:val="5B975843"/>
    <w:rsid w:val="5C5B50D7"/>
    <w:rsid w:val="5D180936"/>
    <w:rsid w:val="5D340FDF"/>
    <w:rsid w:val="5D852714"/>
    <w:rsid w:val="5DA33ED1"/>
    <w:rsid w:val="5DA44427"/>
    <w:rsid w:val="5E067E88"/>
    <w:rsid w:val="5E305765"/>
    <w:rsid w:val="5E7C11FE"/>
    <w:rsid w:val="5F0D342B"/>
    <w:rsid w:val="5F516BA6"/>
    <w:rsid w:val="5FA8067C"/>
    <w:rsid w:val="5FC530E5"/>
    <w:rsid w:val="5FCF6617"/>
    <w:rsid w:val="5FE307E1"/>
    <w:rsid w:val="60044B9F"/>
    <w:rsid w:val="61973591"/>
    <w:rsid w:val="619D6D28"/>
    <w:rsid w:val="61D12AA3"/>
    <w:rsid w:val="62710353"/>
    <w:rsid w:val="62894733"/>
    <w:rsid w:val="62912F05"/>
    <w:rsid w:val="638D185E"/>
    <w:rsid w:val="639254FB"/>
    <w:rsid w:val="63AC76F3"/>
    <w:rsid w:val="63C0185E"/>
    <w:rsid w:val="63D4308E"/>
    <w:rsid w:val="63F11E14"/>
    <w:rsid w:val="640F589A"/>
    <w:rsid w:val="64594264"/>
    <w:rsid w:val="64956FF3"/>
    <w:rsid w:val="64D24316"/>
    <w:rsid w:val="655C449D"/>
    <w:rsid w:val="65D25214"/>
    <w:rsid w:val="6604553D"/>
    <w:rsid w:val="661C5344"/>
    <w:rsid w:val="66325EC8"/>
    <w:rsid w:val="66467E37"/>
    <w:rsid w:val="667212CC"/>
    <w:rsid w:val="669A468B"/>
    <w:rsid w:val="67DF7076"/>
    <w:rsid w:val="689600DA"/>
    <w:rsid w:val="694212E1"/>
    <w:rsid w:val="696131CE"/>
    <w:rsid w:val="6B645618"/>
    <w:rsid w:val="6B9554C8"/>
    <w:rsid w:val="6BD04E11"/>
    <w:rsid w:val="6C60798F"/>
    <w:rsid w:val="6D027E18"/>
    <w:rsid w:val="6DBA4DC9"/>
    <w:rsid w:val="6E196C96"/>
    <w:rsid w:val="6EBF36FE"/>
    <w:rsid w:val="6EE66AE9"/>
    <w:rsid w:val="6EE9447B"/>
    <w:rsid w:val="6F2822DC"/>
    <w:rsid w:val="6FD665FE"/>
    <w:rsid w:val="700404AB"/>
    <w:rsid w:val="70532D29"/>
    <w:rsid w:val="70E563E9"/>
    <w:rsid w:val="71302029"/>
    <w:rsid w:val="714D7C0F"/>
    <w:rsid w:val="71612210"/>
    <w:rsid w:val="716B01E8"/>
    <w:rsid w:val="71907DCF"/>
    <w:rsid w:val="71B3696B"/>
    <w:rsid w:val="72476850"/>
    <w:rsid w:val="72872594"/>
    <w:rsid w:val="728813D5"/>
    <w:rsid w:val="72C6638B"/>
    <w:rsid w:val="72DC47EF"/>
    <w:rsid w:val="72F260A0"/>
    <w:rsid w:val="73104006"/>
    <w:rsid w:val="736D2005"/>
    <w:rsid w:val="73A313EC"/>
    <w:rsid w:val="740333F6"/>
    <w:rsid w:val="749C338B"/>
    <w:rsid w:val="74A569D0"/>
    <w:rsid w:val="74DA2F74"/>
    <w:rsid w:val="74E10331"/>
    <w:rsid w:val="76466A77"/>
    <w:rsid w:val="76555D19"/>
    <w:rsid w:val="76A92116"/>
    <w:rsid w:val="774E20E7"/>
    <w:rsid w:val="777C7835"/>
    <w:rsid w:val="7831711B"/>
    <w:rsid w:val="78A37B3D"/>
    <w:rsid w:val="78ED3240"/>
    <w:rsid w:val="796E0F95"/>
    <w:rsid w:val="7A230046"/>
    <w:rsid w:val="7AAD2AD4"/>
    <w:rsid w:val="7B197482"/>
    <w:rsid w:val="7B4538F1"/>
    <w:rsid w:val="7BC10FD1"/>
    <w:rsid w:val="7C012B9C"/>
    <w:rsid w:val="7C2B02C4"/>
    <w:rsid w:val="7D715404"/>
    <w:rsid w:val="7E3F6417"/>
    <w:rsid w:val="7EB219EA"/>
    <w:rsid w:val="7EBF5119"/>
    <w:rsid w:val="7ECF25C7"/>
    <w:rsid w:val="7FA37FC2"/>
    <w:rsid w:val="CCDE3E91"/>
    <w:rsid w:val="FBF9F944"/>
    <w:rsid w:val="FEFF7FA4"/>
    <w:rsid w:val="FFDE13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38"/>
    <w:autoRedefine/>
    <w:qFormat/>
    <w:uiPriority w:val="0"/>
    <w:pPr>
      <w:keepNext/>
      <w:keepLines/>
      <w:spacing w:line="440" w:lineRule="exact"/>
      <w:outlineLvl w:val="0"/>
    </w:pPr>
    <w:rPr>
      <w:rFonts w:hAnsi="宋体"/>
      <w:sz w:val="30"/>
      <w:szCs w:val="24"/>
    </w:rPr>
  </w:style>
  <w:style w:type="paragraph" w:styleId="5">
    <w:name w:val="heading 2"/>
    <w:basedOn w:val="1"/>
    <w:next w:val="1"/>
    <w:link w:val="39"/>
    <w:autoRedefine/>
    <w:qFormat/>
    <w:uiPriority w:val="0"/>
    <w:pPr>
      <w:keepNext/>
      <w:keepLines/>
      <w:spacing w:line="410" w:lineRule="exact"/>
      <w:outlineLvl w:val="1"/>
    </w:pPr>
    <w:rPr>
      <w:rFonts w:ascii="Calibri" w:hAnsi="Calibri"/>
      <w:sz w:val="28"/>
      <w:szCs w:val="28"/>
    </w:rPr>
  </w:style>
  <w:style w:type="paragraph" w:styleId="6">
    <w:name w:val="heading 3"/>
    <w:basedOn w:val="4"/>
    <w:next w:val="1"/>
    <w:link w:val="40"/>
    <w:qFormat/>
    <w:uiPriority w:val="0"/>
    <w:pPr>
      <w:keepNext/>
      <w:keepLines/>
      <w:outlineLvl w:val="2"/>
    </w:pPr>
    <w:rPr>
      <w:rFonts w:ascii="宋体" w:hAnsi="宋体"/>
      <w:sz w:val="28"/>
      <w:szCs w:val="28"/>
    </w:rPr>
  </w:style>
  <w:style w:type="paragraph" w:styleId="7">
    <w:name w:val="heading 4"/>
    <w:basedOn w:val="1"/>
    <w:next w:val="1"/>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2"/>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43"/>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44"/>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45"/>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46"/>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0">
    <w:name w:val="Default Paragraph Font"/>
    <w:autoRedefine/>
    <w:unhideWhenUsed/>
    <w:qFormat/>
    <w:uiPriority w:val="1"/>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36"/>
    <w:autoRedefine/>
    <w:qFormat/>
    <w:uiPriority w:val="0"/>
    <w:pPr>
      <w:spacing w:after="312" w:afterLines="100"/>
      <w:jc w:val="center"/>
    </w:pPr>
    <w:rPr>
      <w:rFonts w:ascii="黑体" w:hAnsi="Times New Roman" w:eastAsia="黑体"/>
      <w:sz w:val="44"/>
      <w:szCs w:val="24"/>
    </w:rPr>
  </w:style>
  <w:style w:type="paragraph" w:styleId="4">
    <w:name w:val="Title"/>
    <w:basedOn w:val="1"/>
    <w:link w:val="37"/>
    <w:autoRedefine/>
    <w:qFormat/>
    <w:uiPriority w:val="0"/>
    <w:pPr>
      <w:spacing w:before="120" w:after="120" w:line="360" w:lineRule="auto"/>
      <w:jc w:val="center"/>
      <w:outlineLvl w:val="0"/>
    </w:pPr>
    <w:rPr>
      <w:rFonts w:ascii="黑体" w:hAnsi="Arial" w:eastAsia="黑体"/>
      <w:b/>
      <w:bCs/>
      <w:sz w:val="32"/>
      <w:szCs w:val="32"/>
    </w:rPr>
  </w:style>
  <w:style w:type="paragraph" w:styleId="13">
    <w:name w:val="Normal Indent"/>
    <w:basedOn w:val="1"/>
    <w:autoRedefine/>
    <w:qFormat/>
    <w:uiPriority w:val="0"/>
    <w:pPr>
      <w:ind w:firstLine="420" w:firstLineChars="200"/>
    </w:pPr>
  </w:style>
  <w:style w:type="paragraph" w:styleId="14">
    <w:name w:val="Document Map"/>
    <w:basedOn w:val="1"/>
    <w:autoRedefine/>
    <w:semiHidden/>
    <w:qFormat/>
    <w:uiPriority w:val="0"/>
    <w:pPr>
      <w:shd w:val="clear" w:color="auto" w:fill="000080"/>
    </w:p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spacing w:after="120"/>
    </w:pPr>
    <w:rPr>
      <w:sz w:val="16"/>
      <w:szCs w:val="16"/>
    </w:rPr>
  </w:style>
  <w:style w:type="paragraph" w:styleId="17">
    <w:name w:val="Body Text Indent"/>
    <w:basedOn w:val="1"/>
    <w:autoRedefine/>
    <w:qFormat/>
    <w:uiPriority w:val="0"/>
    <w:pPr>
      <w:ind w:left="630" w:hanging="630" w:hangingChars="300"/>
    </w:pPr>
  </w:style>
  <w:style w:type="paragraph" w:styleId="18">
    <w:name w:val="toc 3"/>
    <w:basedOn w:val="1"/>
    <w:next w:val="1"/>
    <w:autoRedefine/>
    <w:qFormat/>
    <w:uiPriority w:val="39"/>
    <w:pPr>
      <w:tabs>
        <w:tab w:val="left" w:pos="1155"/>
        <w:tab w:val="right" w:leader="dot" w:pos="9628"/>
      </w:tabs>
      <w:spacing w:line="360" w:lineRule="auto"/>
      <w:ind w:left="840" w:leftChars="400"/>
    </w:pPr>
    <w:rPr>
      <w:b/>
      <w:color w:val="000000"/>
    </w:rPr>
  </w:style>
  <w:style w:type="paragraph" w:styleId="19">
    <w:name w:val="Plain Text"/>
    <w:basedOn w:val="1"/>
    <w:autoRedefine/>
    <w:qFormat/>
    <w:uiPriority w:val="0"/>
    <w:rPr>
      <w:rFonts w:ascii="宋体" w:hAnsi="Courier New" w:cs="Courier New"/>
      <w:szCs w:val="21"/>
    </w:rPr>
  </w:style>
  <w:style w:type="paragraph" w:styleId="20">
    <w:name w:val="Date"/>
    <w:basedOn w:val="1"/>
    <w:next w:val="1"/>
    <w:autoRedefine/>
    <w:qFormat/>
    <w:uiPriority w:val="0"/>
    <w:pPr>
      <w:ind w:leftChars="2500"/>
    </w:pPr>
    <w:rPr>
      <w:rFonts w:ascii="宋体" w:hAnsi="Courier New"/>
      <w:b/>
      <w:bCs/>
      <w:color w:val="000000"/>
      <w:szCs w:val="21"/>
    </w:rPr>
  </w:style>
  <w:style w:type="paragraph" w:styleId="21">
    <w:name w:val="Balloon Text"/>
    <w:basedOn w:val="1"/>
    <w:link w:val="47"/>
    <w:autoRedefine/>
    <w:unhideWhenUsed/>
    <w:qFormat/>
    <w:uiPriority w:val="0"/>
    <w:rPr>
      <w:rFonts w:ascii="Times New Roman" w:hAnsi="Times New Roman"/>
      <w:sz w:val="18"/>
      <w:szCs w:val="18"/>
    </w:r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Body Text Indent 3"/>
    <w:basedOn w:val="1"/>
    <w:autoRedefine/>
    <w:qFormat/>
    <w:uiPriority w:val="0"/>
    <w:pPr>
      <w:tabs>
        <w:tab w:val="left" w:pos="0"/>
      </w:tabs>
      <w:snapToGrid w:val="0"/>
      <w:spacing w:line="500" w:lineRule="atLeast"/>
      <w:ind w:firstLine="525"/>
    </w:pPr>
    <w:rPr>
      <w:rFonts w:ascii="仿宋_GB2312" w:eastAsia="仿宋_GB2312"/>
      <w:sz w:val="30"/>
      <w:szCs w:val="20"/>
    </w:rPr>
  </w:style>
  <w:style w:type="paragraph" w:styleId="26">
    <w:name w:val="toc 2"/>
    <w:basedOn w:val="1"/>
    <w:next w:val="1"/>
    <w:autoRedefine/>
    <w:qFormat/>
    <w:uiPriority w:val="39"/>
    <w:pPr>
      <w:tabs>
        <w:tab w:val="left" w:pos="790"/>
        <w:tab w:val="right" w:leader="dot" w:pos="9629"/>
      </w:tabs>
      <w:spacing w:line="460" w:lineRule="exact"/>
    </w:p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rPr>
  </w:style>
  <w:style w:type="character" w:styleId="32">
    <w:name w:val="page number"/>
    <w:basedOn w:val="30"/>
    <w:autoRedefine/>
    <w:qFormat/>
    <w:uiPriority w:val="0"/>
  </w:style>
  <w:style w:type="character" w:styleId="33">
    <w:name w:val="FollowedHyperlink"/>
    <w:autoRedefine/>
    <w:qFormat/>
    <w:uiPriority w:val="0"/>
    <w:rPr>
      <w:color w:val="800080"/>
      <w:u w:val="single"/>
    </w:rPr>
  </w:style>
  <w:style w:type="character" w:styleId="34">
    <w:name w:val="Emphasis"/>
    <w:autoRedefine/>
    <w:qFormat/>
    <w:uiPriority w:val="0"/>
    <w:rPr>
      <w:i/>
    </w:rPr>
  </w:style>
  <w:style w:type="character" w:styleId="35">
    <w:name w:val="Hyperlink"/>
    <w:autoRedefine/>
    <w:qFormat/>
    <w:uiPriority w:val="99"/>
    <w:rPr>
      <w:color w:val="0000FF"/>
      <w:u w:val="single"/>
    </w:rPr>
  </w:style>
  <w:style w:type="character" w:customStyle="1" w:styleId="36">
    <w:name w:val="正文文本 Char"/>
    <w:link w:val="2"/>
    <w:autoRedefine/>
    <w:qFormat/>
    <w:uiPriority w:val="0"/>
    <w:rPr>
      <w:rFonts w:ascii="黑体" w:eastAsia="黑体"/>
      <w:kern w:val="2"/>
      <w:sz w:val="44"/>
      <w:szCs w:val="24"/>
    </w:rPr>
  </w:style>
  <w:style w:type="character" w:customStyle="1" w:styleId="37">
    <w:name w:val="标题 Char"/>
    <w:link w:val="4"/>
    <w:autoRedefine/>
    <w:qFormat/>
    <w:uiPriority w:val="0"/>
    <w:rPr>
      <w:rFonts w:ascii="黑体" w:hAnsi="Arial" w:eastAsia="黑体" w:cs="Arial"/>
      <w:b/>
      <w:bCs/>
      <w:kern w:val="2"/>
      <w:sz w:val="32"/>
      <w:szCs w:val="32"/>
    </w:rPr>
  </w:style>
  <w:style w:type="character" w:customStyle="1" w:styleId="38">
    <w:name w:val="标题 1 Char"/>
    <w:link w:val="3"/>
    <w:autoRedefine/>
    <w:qFormat/>
    <w:uiPriority w:val="0"/>
    <w:rPr>
      <w:rFonts w:ascii="黑体" w:hAnsi="宋体" w:eastAsia="黑体" w:cs="Arial"/>
      <w:b/>
      <w:bCs/>
      <w:kern w:val="2"/>
      <w:sz w:val="30"/>
      <w:szCs w:val="24"/>
    </w:rPr>
  </w:style>
  <w:style w:type="character" w:customStyle="1" w:styleId="39">
    <w:name w:val="标题 2 Char"/>
    <w:link w:val="5"/>
    <w:autoRedefine/>
    <w:qFormat/>
    <w:uiPriority w:val="0"/>
    <w:rPr>
      <w:rFonts w:ascii="Calibri" w:hAnsi="Calibri" w:eastAsia="黑体" w:cs="Calibri"/>
      <w:b/>
      <w:bCs/>
      <w:kern w:val="2"/>
      <w:sz w:val="28"/>
      <w:szCs w:val="28"/>
    </w:rPr>
  </w:style>
  <w:style w:type="character" w:customStyle="1" w:styleId="40">
    <w:name w:val="标题 3 Char"/>
    <w:link w:val="6"/>
    <w:autoRedefine/>
    <w:qFormat/>
    <w:locked/>
    <w:uiPriority w:val="0"/>
    <w:rPr>
      <w:rFonts w:ascii="宋体" w:hAnsi="宋体" w:eastAsia="黑体" w:cs="Arial"/>
      <w:b/>
      <w:bCs/>
      <w:snapToGrid/>
      <w:kern w:val="2"/>
      <w:sz w:val="28"/>
      <w:szCs w:val="28"/>
    </w:rPr>
  </w:style>
  <w:style w:type="character" w:customStyle="1" w:styleId="41">
    <w:name w:val="标题 4 Char"/>
    <w:link w:val="7"/>
    <w:autoRedefine/>
    <w:qFormat/>
    <w:uiPriority w:val="0"/>
    <w:rPr>
      <w:rFonts w:ascii="Arial" w:hAnsi="Arial" w:eastAsia="黑体"/>
      <w:b/>
      <w:bCs/>
      <w:kern w:val="2"/>
      <w:sz w:val="28"/>
      <w:szCs w:val="28"/>
    </w:rPr>
  </w:style>
  <w:style w:type="character" w:customStyle="1" w:styleId="42">
    <w:name w:val="标题 5 Char"/>
    <w:link w:val="8"/>
    <w:autoRedefine/>
    <w:qFormat/>
    <w:uiPriority w:val="0"/>
    <w:rPr>
      <w:rFonts w:ascii="Calibri" w:hAnsi="Calibri"/>
      <w:b/>
      <w:bCs/>
      <w:kern w:val="2"/>
      <w:sz w:val="28"/>
      <w:szCs w:val="28"/>
    </w:rPr>
  </w:style>
  <w:style w:type="character" w:customStyle="1" w:styleId="43">
    <w:name w:val="标题 6 Char"/>
    <w:link w:val="9"/>
    <w:autoRedefine/>
    <w:qFormat/>
    <w:uiPriority w:val="0"/>
    <w:rPr>
      <w:rFonts w:ascii="Arial" w:hAnsi="Arial" w:eastAsia="黑体"/>
      <w:b/>
      <w:bCs/>
      <w:sz w:val="24"/>
      <w:szCs w:val="22"/>
    </w:rPr>
  </w:style>
  <w:style w:type="character" w:customStyle="1" w:styleId="44">
    <w:name w:val="标题 7 Char"/>
    <w:link w:val="10"/>
    <w:autoRedefine/>
    <w:qFormat/>
    <w:uiPriority w:val="0"/>
    <w:rPr>
      <w:rFonts w:ascii="Calibri" w:hAnsi="Calibri"/>
      <w:b/>
      <w:bCs/>
      <w:sz w:val="24"/>
      <w:szCs w:val="22"/>
    </w:rPr>
  </w:style>
  <w:style w:type="character" w:customStyle="1" w:styleId="45">
    <w:name w:val="标题 8 Char"/>
    <w:link w:val="11"/>
    <w:autoRedefine/>
    <w:qFormat/>
    <w:uiPriority w:val="0"/>
    <w:rPr>
      <w:rFonts w:ascii="Arial" w:hAnsi="Arial" w:eastAsia="黑体"/>
      <w:sz w:val="24"/>
      <w:szCs w:val="22"/>
    </w:rPr>
  </w:style>
  <w:style w:type="character" w:customStyle="1" w:styleId="46">
    <w:name w:val="标题 9 Char"/>
    <w:link w:val="12"/>
    <w:autoRedefine/>
    <w:qFormat/>
    <w:uiPriority w:val="0"/>
    <w:rPr>
      <w:rFonts w:ascii="Arial" w:hAnsi="Arial" w:eastAsia="黑体"/>
      <w:sz w:val="21"/>
      <w:szCs w:val="21"/>
    </w:rPr>
  </w:style>
  <w:style w:type="character" w:customStyle="1" w:styleId="47">
    <w:name w:val="批注框文本 Char"/>
    <w:link w:val="21"/>
    <w:autoRedefine/>
    <w:qFormat/>
    <w:uiPriority w:val="0"/>
    <w:rPr>
      <w:kern w:val="2"/>
      <w:sz w:val="18"/>
      <w:szCs w:val="18"/>
    </w:rPr>
  </w:style>
  <w:style w:type="character" w:customStyle="1" w:styleId="48">
    <w:name w:val=" Char Char Char1"/>
    <w:autoRedefine/>
    <w:qFormat/>
    <w:uiPriority w:val="0"/>
    <w:rPr>
      <w:rFonts w:eastAsia="黑体"/>
      <w:bCs/>
      <w:sz w:val="28"/>
      <w:szCs w:val="32"/>
      <w:lang w:val="en-US" w:eastAsia="zh-CN" w:bidi="ar-SA"/>
    </w:rPr>
  </w:style>
  <w:style w:type="character" w:customStyle="1" w:styleId="49">
    <w:name w:val=" Char Char1"/>
    <w:autoRedefine/>
    <w:qFormat/>
    <w:uiPriority w:val="0"/>
    <w:rPr>
      <w:rFonts w:ascii="Arial" w:hAnsi="Arial" w:eastAsia="宋体"/>
      <w:b/>
      <w:bCs/>
      <w:kern w:val="2"/>
      <w:sz w:val="21"/>
      <w:szCs w:val="28"/>
      <w:lang w:val="en-US" w:eastAsia="zh-CN" w:bidi="ar-SA"/>
    </w:rPr>
  </w:style>
  <w:style w:type="character" w:customStyle="1" w:styleId="50">
    <w:name w:val="t_tag"/>
    <w:autoRedefine/>
    <w:qFormat/>
    <w:uiPriority w:val="0"/>
    <w:rPr>
      <w:sz w:val="21"/>
      <w:szCs w:val="21"/>
    </w:rPr>
  </w:style>
  <w:style w:type="character" w:customStyle="1" w:styleId="51">
    <w:name w:val="纯文本 Char"/>
    <w:autoRedefine/>
    <w:qFormat/>
    <w:uiPriority w:val="0"/>
    <w:rPr>
      <w:rFonts w:ascii="宋体" w:hAnsi="Courier New" w:eastAsia="宋体" w:cs="Courier New"/>
      <w:kern w:val="2"/>
      <w:sz w:val="21"/>
      <w:szCs w:val="21"/>
      <w:lang w:val="en-US" w:eastAsia="zh-CN" w:bidi="ar-SA"/>
    </w:rPr>
  </w:style>
  <w:style w:type="character" w:customStyle="1" w:styleId="52">
    <w:name w:val="标题6 Char"/>
    <w:link w:val="53"/>
    <w:autoRedefine/>
    <w:qFormat/>
    <w:uiPriority w:val="0"/>
    <w:rPr>
      <w:rFonts w:ascii="宋体" w:hAnsi="宋体" w:eastAsia="黑体" w:cs="宋体"/>
      <w:kern w:val="2"/>
      <w:sz w:val="32"/>
      <w:szCs w:val="32"/>
    </w:rPr>
  </w:style>
  <w:style w:type="paragraph" w:customStyle="1" w:styleId="53">
    <w:name w:val="标题6"/>
    <w:basedOn w:val="1"/>
    <w:link w:val="52"/>
    <w:autoRedefine/>
    <w:qFormat/>
    <w:uiPriority w:val="0"/>
    <w:pPr>
      <w:keepNext/>
      <w:keepLines/>
      <w:spacing w:line="400" w:lineRule="exact"/>
      <w:jc w:val="center"/>
      <w:outlineLvl w:val="2"/>
    </w:pPr>
    <w:rPr>
      <w:rFonts w:ascii="宋体" w:hAnsi="宋体" w:eastAsia="黑体"/>
      <w:sz w:val="32"/>
      <w:szCs w:val="32"/>
    </w:rPr>
  </w:style>
  <w:style w:type="character" w:customStyle="1" w:styleId="54">
    <w:name w:val="Char Char1"/>
    <w:autoRedefine/>
    <w:qFormat/>
    <w:uiPriority w:val="0"/>
    <w:rPr>
      <w:rFonts w:hint="default" w:ascii="Arial" w:hAnsi="Arial" w:eastAsia="宋体" w:cs="Arial"/>
      <w:b/>
      <w:bCs/>
      <w:kern w:val="2"/>
      <w:sz w:val="21"/>
      <w:szCs w:val="28"/>
      <w:lang w:val="en-US" w:eastAsia="zh-CN" w:bidi="ar-SA"/>
    </w:rPr>
  </w:style>
  <w:style w:type="character" w:customStyle="1" w:styleId="55">
    <w:name w:val=" Char Char Char"/>
    <w:autoRedefine/>
    <w:qFormat/>
    <w:uiPriority w:val="0"/>
    <w:rPr>
      <w:rFonts w:ascii="宋体" w:hAnsi="Courier New" w:eastAsia="宋体" w:cs="Courier New"/>
      <w:kern w:val="2"/>
      <w:sz w:val="21"/>
      <w:szCs w:val="21"/>
      <w:lang w:val="en-US" w:eastAsia="zh-CN" w:bidi="ar-SA"/>
    </w:rPr>
  </w:style>
  <w:style w:type="character" w:customStyle="1" w:styleId="56">
    <w:name w:val=" Char Char12"/>
    <w:autoRedefine/>
    <w:qFormat/>
    <w:uiPriority w:val="0"/>
    <w:rPr>
      <w:rFonts w:ascii="Times New Roman" w:hAnsi="Times New Roman" w:eastAsia="宋体" w:cs="Times New Roman"/>
      <w:b/>
      <w:bCs/>
      <w:sz w:val="24"/>
      <w:szCs w:val="32"/>
    </w:rPr>
  </w:style>
  <w:style w:type="character" w:customStyle="1" w:styleId="57">
    <w:name w:val="ca-51"/>
    <w:autoRedefine/>
    <w:qFormat/>
    <w:uiPriority w:val="0"/>
    <w:rPr>
      <w:rFonts w:hint="eastAsia" w:ascii="宋体" w:hAnsi="宋体" w:eastAsia="宋体"/>
      <w:sz w:val="24"/>
      <w:szCs w:val="24"/>
    </w:rPr>
  </w:style>
  <w:style w:type="character" w:customStyle="1" w:styleId="58">
    <w:name w:val="Char Char"/>
    <w:autoRedefine/>
    <w:qFormat/>
    <w:uiPriority w:val="0"/>
    <w:rPr>
      <w:rFonts w:hint="eastAsia" w:ascii="宋体" w:hAnsi="Courier New" w:eastAsia="宋体" w:cs="Courier New"/>
      <w:kern w:val="2"/>
      <w:sz w:val="21"/>
      <w:szCs w:val="21"/>
      <w:lang w:val="en-US" w:eastAsia="zh-CN" w:bidi="ar-SA"/>
    </w:rPr>
  </w:style>
  <w:style w:type="character" w:customStyle="1" w:styleId="59">
    <w:name w:val=" Char Char"/>
    <w:autoRedefine/>
    <w:qFormat/>
    <w:uiPriority w:val="0"/>
    <w:rPr>
      <w:rFonts w:ascii="宋体" w:hAnsi="Courier New" w:eastAsia="宋体" w:cs="Courier New"/>
      <w:kern w:val="2"/>
      <w:sz w:val="21"/>
      <w:szCs w:val="21"/>
      <w:lang w:val="en-US" w:eastAsia="zh-CN" w:bidi="ar-SA"/>
    </w:rPr>
  </w:style>
  <w:style w:type="paragraph" w:customStyle="1" w:styleId="60">
    <w:name w:val="Normal_0"/>
    <w:autoRedefine/>
    <w:qFormat/>
    <w:uiPriority w:val="0"/>
    <w:rPr>
      <w:rFonts w:ascii="Times New Roman" w:hAnsi="Times New Roman" w:eastAsia="Times New Roman" w:cs="Times New Roman"/>
      <w:sz w:val="24"/>
      <w:szCs w:val="24"/>
      <w:lang w:bidi="ar-SA"/>
    </w:rPr>
  </w:style>
  <w:style w:type="paragraph" w:styleId="61">
    <w:name w:val="List Paragraph"/>
    <w:basedOn w:val="1"/>
    <w:autoRedefine/>
    <w:qFormat/>
    <w:uiPriority w:val="34"/>
    <w:pPr>
      <w:ind w:firstLine="420" w:firstLineChars="200"/>
    </w:pPr>
  </w:style>
  <w:style w:type="paragraph" w:customStyle="1" w:styleId="62">
    <w:name w:val=" Char Char Char Char Char Char Char"/>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63">
    <w:name w:val="正文_1"/>
    <w:basedOn w:val="64"/>
    <w:autoRedefine/>
    <w:qFormat/>
    <w:uiPriority w:val="0"/>
    <w:pPr>
      <w:widowControl w:val="0"/>
      <w:jc w:val="both"/>
    </w:pPr>
    <w:rPr>
      <w:rFonts w:ascii="Calibri" w:hAnsi="Calibri"/>
      <w:kern w:val="2"/>
      <w:sz w:val="21"/>
      <w:szCs w:val="22"/>
      <w:lang w:val="en-US" w:eastAsia="zh-CN" w:bidi="ar-SA"/>
    </w:rPr>
  </w:style>
  <w:style w:type="paragraph" w:customStyle="1" w:styleId="64">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5">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bCs/>
      <w:sz w:val="28"/>
      <w:szCs w:val="20"/>
    </w:rPr>
  </w:style>
  <w:style w:type="paragraph" w:customStyle="1" w:styleId="66">
    <w:name w:val=" Char"/>
    <w:basedOn w:val="1"/>
    <w:autoRedefine/>
    <w:qFormat/>
    <w:uiPriority w:val="0"/>
    <w:pPr>
      <w:tabs>
        <w:tab w:val="left" w:pos="360"/>
      </w:tabs>
    </w:pPr>
    <w:rPr>
      <w:sz w:val="24"/>
    </w:rPr>
  </w:style>
  <w:style w:type="paragraph" w:customStyle="1" w:styleId="67">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68">
    <w:name w:val="目录"/>
    <w:basedOn w:val="1"/>
    <w:autoRedefine/>
    <w:qFormat/>
    <w:uiPriority w:val="0"/>
    <w:pPr>
      <w:widowControl/>
      <w:jc w:val="center"/>
    </w:pPr>
    <w:rPr>
      <w:rFonts w:ascii="宋体"/>
      <w:b/>
      <w:kern w:val="0"/>
      <w:sz w:val="36"/>
      <w:szCs w:val="20"/>
    </w:rPr>
  </w:style>
  <w:style w:type="paragraph" w:customStyle="1" w:styleId="69">
    <w:name w:val="正文_0_0"/>
    <w:basedOn w:val="70"/>
    <w:autoRedefine/>
    <w:qFormat/>
    <w:uiPriority w:val="0"/>
    <w:rPr>
      <w:rFonts w:ascii="Calibri" w:hAnsi="Calibri" w:cs="Calibri"/>
      <w:szCs w:val="21"/>
    </w:rPr>
  </w:style>
  <w:style w:type="paragraph" w:customStyle="1" w:styleId="70">
    <w:name w:val="正文_0"/>
    <w:basedOn w:val="63"/>
    <w:autoRedefine/>
    <w:qFormat/>
    <w:uiPriority w:val="0"/>
    <w:pPr>
      <w:widowControl w:val="0"/>
      <w:jc w:val="both"/>
    </w:pPr>
    <w:rPr>
      <w:rFonts w:ascii="Calibri" w:hAnsi="Calibri"/>
      <w:kern w:val="2"/>
      <w:sz w:val="21"/>
      <w:szCs w:val="22"/>
      <w:lang w:val="en-US" w:eastAsia="zh-CN" w:bidi="ar-SA"/>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 Char Char2"/>
    <w:basedOn w:val="1"/>
    <w:autoRedefine/>
    <w:qFormat/>
    <w:uiPriority w:val="0"/>
    <w:pPr>
      <w:ind w:firstLine="200" w:firstLineChars="200"/>
    </w:pPr>
    <w:rPr>
      <w:sz w:val="24"/>
    </w:rPr>
  </w:style>
  <w:style w:type="paragraph" w:customStyle="1" w:styleId="73">
    <w:name w:val="Normal"/>
    <w:qFormat/>
    <w:uiPriority w:val="0"/>
    <w:rPr>
      <w:rFonts w:ascii="Times New Roman" w:hAnsi="Times New Roman" w:eastAsia="Times New Roman" w:cs="Times New Roman"/>
      <w:sz w:val="24"/>
      <w:szCs w:val="24"/>
      <w:lang w:bidi="ar-SA"/>
    </w:rPr>
  </w:style>
  <w:style w:type="paragraph" w:customStyle="1" w:styleId="74">
    <w:name w:val="No List1"/>
    <w:autoRedefine/>
    <w:semiHidden/>
    <w:qFormat/>
    <w:uiPriority w:val="99"/>
    <w:rPr>
      <w:rFonts w:ascii="Calibri" w:hAnsi="Calibri" w:eastAsia="宋体" w:cs="Times New Roman"/>
      <w:sz w:val="21"/>
      <w:szCs w:val="22"/>
      <w:lang w:val="en-US" w:eastAsia="zh-CN" w:bidi="ar-SA"/>
    </w:rPr>
  </w:style>
  <w:style w:type="paragraph" w:customStyle="1" w:styleId="7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6">
    <w:name w:val="MsoNormal"/>
    <w:basedOn w:val="73"/>
    <w:autoRedefine/>
    <w:qFormat/>
    <w:uiPriority w:val="0"/>
    <w:rPr>
      <w:rFonts w:ascii="Calibri" w:hAnsi="Calibri" w:eastAsia="Calibri" w:cs="Calibri"/>
      <w:sz w:val="21"/>
    </w:rPr>
  </w:style>
  <w:style w:type="paragraph" w:customStyle="1" w:styleId="77">
    <w:name w:val="WPS Plain"/>
    <w:autoRedefine/>
    <w:qFormat/>
    <w:uiPriority w:val="0"/>
    <w:rPr>
      <w:rFonts w:ascii="Times New Roman" w:hAnsi="Times New Roman" w:eastAsia="宋体" w:cs="Times New Roman"/>
      <w:lang w:val="en-US" w:eastAsia="zh-CN" w:bidi="ar-SA"/>
    </w:rPr>
  </w:style>
  <w:style w:type="paragraph" w:customStyle="1" w:styleId="78">
    <w:name w:val="样式 标题 3 + (中文) 黑体 小四 非加粗 段前: 7.8 磅 段后: 0 磅 行距: 固定值 20 磅"/>
    <w:basedOn w:val="6"/>
    <w:autoRedefine/>
    <w:qFormat/>
    <w:uiPriority w:val="0"/>
    <w:pPr>
      <w:spacing w:line="400" w:lineRule="exact"/>
    </w:pPr>
    <w:rPr>
      <w:rFonts w:eastAsia="黑体" w:cs="宋体"/>
      <w:b w:val="0"/>
      <w:bCs w:val="0"/>
      <w:szCs w:val="20"/>
    </w:rPr>
  </w:style>
  <w:style w:type="paragraph" w:customStyle="1" w:styleId="79">
    <w:name w:val="Table Paragraph"/>
    <w:basedOn w:val="70"/>
    <w:uiPriority w:val="0"/>
    <w:rPr>
      <w:rFonts w:cs="Calibri"/>
      <w:szCs w:val="21"/>
    </w:rPr>
  </w:style>
  <w:style w:type="paragraph" w:customStyle="1" w:styleId="80">
    <w:name w:val="Char1"/>
    <w:basedOn w:val="1"/>
    <w:qFormat/>
    <w:uiPriority w:val="0"/>
    <w:pPr>
      <w:ind w:firstLine="200" w:firstLineChars="200"/>
    </w:pPr>
    <w:rPr>
      <w:sz w:val="24"/>
    </w:rPr>
  </w:style>
  <w:style w:type="paragraph" w:customStyle="1" w:styleId="81">
    <w:name w:val="正文文本_0"/>
    <w:basedOn w:val="70"/>
    <w:autoRedefine/>
    <w:unhideWhenUsed/>
    <w:qFormat/>
    <w:uiPriority w:val="99"/>
    <w:pPr>
      <w:spacing w:before="100" w:beforeAutospacing="1" w:afterLines="100"/>
      <w:jc w:val="center"/>
    </w:pPr>
    <w:rPr>
      <w:rFonts w:ascii="黑体" w:hAnsi="黑体" w:eastAsia="黑体" w:cs="宋体"/>
      <w:sz w:val="44"/>
      <w:szCs w:val="44"/>
    </w:rPr>
  </w:style>
  <w:style w:type="paragraph" w:customStyle="1" w:styleId="82">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83">
    <w:name w:val="样式1"/>
    <w:basedOn w:val="1"/>
    <w:next w:val="7"/>
    <w:autoRedefine/>
    <w:qFormat/>
    <w:uiPriority w:val="0"/>
    <w:pPr>
      <w:spacing w:line="360" w:lineRule="auto"/>
      <w:ind w:firstLine="420" w:firstLineChars="200"/>
    </w:pPr>
    <w:rPr>
      <w:rFonts w:ascii="宋体" w:hAnsi="宋体"/>
      <w:szCs w:val="21"/>
    </w:rPr>
  </w:style>
  <w:style w:type="character" w:customStyle="1" w:styleId="84">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6162</Words>
  <Characters>6528</Characters>
  <Lines>55</Lines>
  <Paragraphs>15</Paragraphs>
  <TotalTime>6</TotalTime>
  <ScaleCrop>false</ScaleCrop>
  <LinksUpToDate>false</LinksUpToDate>
  <CharactersWithSpaces>7411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2020-04-29T11:56:00Z</dcterms:created>
  <dc:creator>User</dc:creator>
  <cp:lastModifiedBy>blackmisty</cp:lastModifiedBy>
  <cp:lastPrinted>2022-04-12T16:48:00Z</cp:lastPrinted>
  <dcterms:modified xsi:type="dcterms:W3CDTF">2024-04-08T09:42:56Z</dcterms:modified>
  <dc:title>中标候选人公示格式</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CA53CB33292F44268AD82E7EF0BD78B5</vt:lpwstr>
  </property>
</Properties>
</file>