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5B1FC">
      <w:pPr>
        <w:spacing w:line="700" w:lineRule="exact"/>
        <w:jc w:val="center"/>
        <w:rPr>
          <w:rFonts w:hint="default" w:ascii="Times New Roman" w:hAnsi="Times New Roman" w:eastAsia="方正小标宋简体" w:cs="Times New Roman"/>
          <w:color w:val="auto"/>
          <w:w w:val="92"/>
          <w:sz w:val="44"/>
          <w:szCs w:val="44"/>
          <w:highlight w:val="none"/>
          <w:shd w:val="clear" w:color="auto" w:fill="FFFFFF"/>
          <w:lang w:val="en-US" w:eastAsia="zh-CN"/>
        </w:rPr>
      </w:pPr>
      <w:r>
        <w:rPr>
          <w:rFonts w:hint="eastAsia" w:ascii="Times New Roman" w:hAnsi="Times New Roman" w:eastAsia="方正小标宋简体" w:cs="Times New Roman"/>
          <w:color w:val="auto"/>
          <w:w w:val="92"/>
          <w:sz w:val="44"/>
          <w:szCs w:val="44"/>
          <w:highlight w:val="none"/>
          <w:shd w:val="clear" w:color="auto" w:fill="FFFFFF"/>
          <w:lang w:val="en-US" w:eastAsia="zh-CN"/>
        </w:rPr>
        <w:t>2024年度眉山天府新区22座农村一体化污水处理设备大修改造项目设计（含预算）-</w:t>
      </w:r>
      <w:r>
        <w:rPr>
          <w:rFonts w:ascii="Times New Roman" w:hAnsi="Times New Roman" w:eastAsia="方正小标宋简体" w:cs="Times New Roman"/>
          <w:color w:val="auto"/>
          <w:w w:val="92"/>
          <w:sz w:val="44"/>
          <w:szCs w:val="44"/>
          <w:highlight w:val="none"/>
          <w:shd w:val="clear" w:color="auto" w:fill="FFFFFF"/>
        </w:rPr>
        <w:t>投标人须知</w:t>
      </w:r>
    </w:p>
    <w:p w14:paraId="3980DEA3">
      <w:pPr>
        <w:spacing w:line="580" w:lineRule="exact"/>
        <w:rPr>
          <w:rFonts w:ascii="Times New Roman" w:hAnsi="Times New Roman" w:eastAsia="宋体" w:cs="Times New Roman"/>
          <w:b/>
          <w:bCs/>
          <w:color w:val="auto"/>
          <w:sz w:val="32"/>
          <w:szCs w:val="32"/>
          <w:highlight w:val="none"/>
          <w:shd w:val="clear" w:color="auto" w:fill="FFFFFF"/>
        </w:rPr>
      </w:pPr>
    </w:p>
    <w:p w14:paraId="2133244E">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04D680F1">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2024年度眉山天府新区22座农村一体化污水处理设备大修改造项目设计（含预算）</w:t>
      </w:r>
      <w:r>
        <w:rPr>
          <w:rFonts w:hint="eastAsia" w:ascii="Times New Roman" w:hAnsi="Times New Roman" w:eastAsia="仿宋_GB2312" w:cs="Times New Roman"/>
          <w:color w:val="auto"/>
          <w:sz w:val="32"/>
          <w:szCs w:val="32"/>
          <w:highlight w:val="none"/>
          <w:shd w:val="clear" w:color="auto" w:fill="FFFFFF"/>
        </w:rPr>
        <w:t>。</w:t>
      </w:r>
    </w:p>
    <w:p w14:paraId="64037F45">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2、建设地点：眉山天府新区视高街道、锦江镇、贵平镇、高家镇、北斗镇及龙马镇片区。  </w:t>
      </w:r>
    </w:p>
    <w:p w14:paraId="24D25EE9">
      <w:pPr>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w:t>
      </w:r>
      <w:r>
        <w:rPr>
          <w:rFonts w:hint="eastAsia" w:ascii="Times New Roman" w:hAnsi="Times New Roman" w:eastAsia="仿宋_GB2312" w:cs="Times New Roman"/>
          <w:color w:val="auto"/>
          <w:sz w:val="32"/>
          <w:szCs w:val="32"/>
          <w:highlight w:val="none"/>
          <w:shd w:val="clear" w:color="auto" w:fill="FFFFFF"/>
          <w:lang w:val="en-US" w:eastAsia="zh-CN"/>
        </w:rPr>
        <w:t>项目概况</w:t>
      </w:r>
      <w:r>
        <w:rPr>
          <w:rFonts w:hint="eastAsia" w:ascii="Times New Roman" w:hAnsi="Times New Roman" w:eastAsia="仿宋_GB2312" w:cs="Times New Roman"/>
          <w:color w:val="auto"/>
          <w:sz w:val="32"/>
          <w:szCs w:val="32"/>
          <w:highlight w:val="none"/>
          <w:shd w:val="clear" w:color="auto" w:fill="FFFFFF"/>
        </w:rPr>
        <w:t>：本项目总投资金额为941.56万元，其中建安费为802.04万元，主要建设内容包含视高街道、锦江镇、贵平镇、高家镇、北斗镇及龙马镇片区内22座农村一体化污水处理站设备进行除锈防腐处理、维修更换损坏设备设施，同时对其中6座日处理能力500方及以上的污水处理站进行总氮工艺技改</w:t>
      </w:r>
      <w:r>
        <w:rPr>
          <w:rFonts w:hint="default" w:ascii="Times New Roman" w:hAnsi="Times New Roman" w:eastAsia="仿宋_GB2312" w:cs="Times New Roman"/>
          <w:color w:val="auto"/>
          <w:sz w:val="32"/>
          <w:szCs w:val="32"/>
          <w:highlight w:val="none"/>
          <w:shd w:val="clear" w:color="auto" w:fill="FFFFFF"/>
          <w:lang w:val="en-US" w:eastAsia="zh-CN"/>
        </w:rPr>
        <w:t>。</w:t>
      </w:r>
    </w:p>
    <w:p w14:paraId="017FF5F5">
      <w:pPr>
        <w:pStyle w:val="16"/>
        <w:spacing w:before="120" w:beforeLines="50" w:line="360" w:lineRule="auto"/>
        <w:ind w:firstLine="640" w:firstLineChars="200"/>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rPr>
        <w:t>4、招标范围</w:t>
      </w:r>
      <w:r>
        <w:rPr>
          <w:rFonts w:hint="eastAsia" w:ascii="Times New Roman" w:hAnsi="Times New Roman" w:eastAsia="仿宋_GB2312" w:cs="Times New Roman"/>
          <w:color w:val="auto"/>
          <w:kern w:val="2"/>
          <w:sz w:val="32"/>
          <w:szCs w:val="32"/>
          <w:highlight w:val="none"/>
          <w:shd w:val="clear" w:color="auto" w:fill="FFFFFF"/>
          <w:lang w:val="en-US" w:eastAsia="zh-CN" w:bidi="ar-SA"/>
        </w:rPr>
        <w:t>：设计服务包括但不限于以下工作内容：方案设计、初步设计、施工图设计、专项方案和专项设计、施工图预算及招标控制价编制以及招标控制价评审后的招标工程量清单编制，按招标人要求提供各阶段符合要求的设计成果并通过审查，配合施工单位完成该工程必要工作，配合图审单位完成该项目相关图审工作；送审招标控制价编制应满足评审要求，招标工程量清单编制应满足招标要求；涉及到工作内容的相关评审费用由中标人</w:t>
      </w:r>
      <w:bookmarkStart w:id="0" w:name="_GoBack"/>
      <w:bookmarkEnd w:id="0"/>
      <w:r>
        <w:rPr>
          <w:rFonts w:hint="eastAsia" w:ascii="Times New Roman" w:hAnsi="Times New Roman" w:eastAsia="仿宋_GB2312" w:cs="Times New Roman"/>
          <w:color w:val="auto"/>
          <w:kern w:val="2"/>
          <w:sz w:val="32"/>
          <w:szCs w:val="32"/>
          <w:highlight w:val="none"/>
          <w:shd w:val="clear" w:color="auto" w:fill="FFFFFF"/>
          <w:lang w:val="en-US" w:eastAsia="zh-CN" w:bidi="ar-SA"/>
        </w:rPr>
        <w:t>承担。</w:t>
      </w:r>
    </w:p>
    <w:p w14:paraId="37FDD53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177910.10元（含税）</w:t>
      </w:r>
      <w:r>
        <w:rPr>
          <w:rFonts w:hint="eastAsia" w:ascii="Times New Roman" w:hAnsi="Times New Roman" w:eastAsia="仿宋_GB2312" w:cs="Times New Roman"/>
          <w:color w:val="auto"/>
          <w:sz w:val="32"/>
          <w:szCs w:val="32"/>
          <w:highlight w:val="none"/>
          <w:shd w:val="clear" w:color="auto" w:fill="FFFFFF"/>
        </w:rPr>
        <w:t>。</w:t>
      </w:r>
    </w:p>
    <w:p w14:paraId="0C13665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4651550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4AD40DBA">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w:t>
      </w:r>
      <w:r>
        <w:rPr>
          <w:rFonts w:hint="default" w:ascii="Times New Roman" w:hAnsi="Times New Roman" w:eastAsia="仿宋_GB2312" w:cs="Times New Roman"/>
          <w:color w:val="auto"/>
          <w:sz w:val="32"/>
          <w:szCs w:val="32"/>
          <w:highlight w:val="none"/>
          <w:shd w:val="clear" w:color="auto" w:fill="FFFFFF"/>
          <w:lang w:val="en-US"/>
        </w:rPr>
        <w:t>自合同签订之日起生效</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rPr>
        <w:t>至双方履行</w:t>
      </w:r>
      <w:r>
        <w:rPr>
          <w:rFonts w:hint="eastAsia" w:ascii="Times New Roman" w:hAnsi="Times New Roman" w:eastAsia="仿宋_GB2312" w:cs="Times New Roman"/>
          <w:color w:val="auto"/>
          <w:sz w:val="32"/>
          <w:szCs w:val="32"/>
          <w:highlight w:val="none"/>
          <w:shd w:val="clear" w:color="auto" w:fill="FFFFFF"/>
          <w:lang w:val="en-US" w:eastAsia="zh-CN"/>
        </w:rPr>
        <w:t>完</w:t>
      </w:r>
      <w:r>
        <w:rPr>
          <w:rFonts w:hint="default" w:ascii="Times New Roman" w:hAnsi="Times New Roman" w:eastAsia="仿宋_GB2312" w:cs="Times New Roman"/>
          <w:color w:val="auto"/>
          <w:sz w:val="32"/>
          <w:szCs w:val="32"/>
          <w:highlight w:val="none"/>
          <w:shd w:val="clear" w:color="auto" w:fill="FFFFFF"/>
          <w:lang w:val="en-US"/>
        </w:rPr>
        <w:t>合同约定的义务后自行废止</w:t>
      </w:r>
      <w:r>
        <w:rPr>
          <w:rFonts w:hint="eastAsia" w:ascii="Times New Roman" w:hAnsi="Times New Roman" w:eastAsia="仿宋_GB2312" w:cs="Times New Roman"/>
          <w:color w:val="auto"/>
          <w:sz w:val="32"/>
          <w:szCs w:val="32"/>
          <w:highlight w:val="none"/>
          <w:shd w:val="clear" w:color="auto" w:fill="FFFFFF"/>
          <w:lang w:eastAsia="zh-CN"/>
        </w:rPr>
        <w:t>。</w:t>
      </w:r>
    </w:p>
    <w:p w14:paraId="092CE1B6">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w:t>
      </w:r>
      <w:r>
        <w:rPr>
          <w:rFonts w:hint="eastAsia" w:ascii="Times New Roman" w:hAnsi="Times New Roman" w:eastAsia="仿宋_GB2312" w:cs="Times New Roman"/>
          <w:color w:val="auto"/>
          <w:sz w:val="32"/>
          <w:szCs w:val="32"/>
          <w:highlight w:val="none"/>
          <w:shd w:val="clear" w:color="auto" w:fill="FFFFFF"/>
          <w:lang w:val="en-US" w:eastAsia="zh-CN"/>
        </w:rPr>
        <w:t>符合国家法律法规及相关规范、标准要求。</w:t>
      </w:r>
    </w:p>
    <w:p w14:paraId="4722C47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，招标人可在第二、第三名同意第一名报价的情况下，依次沿用第二、第三名的投标人。</w:t>
      </w:r>
    </w:p>
    <w:p w14:paraId="3DF25706">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EB88BF7">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ascii="Times New Roman" w:hAnsi="Times New Roman" w:eastAsia="楷体_GB2312" w:cs="Times New Roman"/>
          <w:b/>
          <w:bCs/>
          <w:color w:val="auto"/>
          <w:sz w:val="32"/>
          <w:szCs w:val="32"/>
          <w:highlight w:val="none"/>
          <w:shd w:val="clear" w:color="auto" w:fill="FFFFFF"/>
        </w:rPr>
        <w:t>1、资质要求：</w:t>
      </w:r>
    </w:p>
    <w:p w14:paraId="7A271D05">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1.1投标人须具有独立企业法人资格，营业执照经营范围需包含工程造价咨询；若投标人营业执照经营范围不具备“工程造价咨询”的，可委托具备相应资质（营业范围包括工程造价咨询）的单位进行，费用由中标人自理</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3B7D53C7">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1.2投标人须具有国家建设行政主管部门颁发的市政行业（排水工程）专业乙级及以上设计资质或具有环境工程(水污染</w:t>
      </w:r>
      <w:r>
        <w:rPr>
          <w:rFonts w:hint="eastAsia" w:ascii="Times New Roman" w:hAnsi="Times New Roman" w:eastAsia="仿宋_GB2312" w:cs="Times New Roman"/>
          <w:b/>
          <w:bCs/>
          <w:color w:val="auto"/>
          <w:sz w:val="32"/>
          <w:szCs w:val="32"/>
          <w:highlight w:val="none"/>
          <w:shd w:val="clear" w:color="auto" w:fill="FFFFFF"/>
          <w:lang w:val="en-US" w:eastAsia="zh-CN"/>
        </w:rPr>
        <w:t>防治工程)专项设计乙级及以上资质；</w:t>
      </w:r>
    </w:p>
    <w:p w14:paraId="12B60890">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1.3具有依法缴纳税收和社会保障资金的良好记录；</w:t>
      </w:r>
    </w:p>
    <w:p w14:paraId="1B1415EE">
      <w:pPr>
        <w:spacing w:line="580" w:lineRule="exact"/>
        <w:ind w:firstLine="643" w:firstLineChars="200"/>
        <w:jc w:val="left"/>
        <w:rPr>
          <w:rFonts w:hint="eastAsia" w:ascii="Times New Roman" w:hAnsi="Times New Roman" w:eastAsia="仿宋_GB2312" w:cs="Times New Roman"/>
          <w:b/>
          <w:bCs/>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1.4企业法定代表人和项目负责人无行贿犯罪记录；</w:t>
      </w:r>
    </w:p>
    <w:p w14:paraId="6D33363C">
      <w:pPr>
        <w:spacing w:line="580" w:lineRule="exact"/>
        <w:ind w:firstLine="643" w:firstLineChars="200"/>
        <w:jc w:val="left"/>
        <w:rPr>
          <w:rFonts w:hint="eastAsia" w:ascii="Times New Roman" w:hAnsi="Times New Roman" w:eastAsia="仿宋_GB2312" w:cs="Times New Roman"/>
          <w:b/>
          <w:bCs/>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1.5参加本项目前三年内，在运营活动中无重大违法记录；</w:t>
      </w:r>
    </w:p>
    <w:p w14:paraId="284BEB89">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1.6具有履行合同所必需的设备和专业技术能力。</w:t>
      </w:r>
    </w:p>
    <w:p w14:paraId="2D815EAF">
      <w:pPr>
        <w:spacing w:line="580" w:lineRule="exact"/>
        <w:ind w:firstLine="643" w:firstLineChars="200"/>
        <w:jc w:val="left"/>
        <w:rPr>
          <w:rFonts w:hint="default" w:ascii="Times New Roman" w:hAnsi="Times New Roman" w:eastAsia="仿宋_GB2312" w:cs="Times New Roman"/>
          <w:b/>
          <w:bCs/>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1.7具有良好的商业信誉和健全的财务会计制度。</w:t>
      </w:r>
    </w:p>
    <w:p w14:paraId="12FE2C4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6A2CA5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w:t>
      </w:r>
      <w:r>
        <w:rPr>
          <w:rFonts w:ascii="Times New Roman" w:hAnsi="Times New Roman" w:eastAsia="仿宋_GB2312" w:cs="Times New Roman"/>
          <w:b w:val="0"/>
          <w:bCs w:val="0"/>
          <w:color w:val="auto"/>
          <w:sz w:val="32"/>
          <w:szCs w:val="32"/>
          <w:highlight w:val="none"/>
          <w:shd w:val="clear" w:color="auto" w:fill="FFFFFF"/>
        </w:rPr>
        <w:t>本项目不允许转包，不允许分包</w:t>
      </w:r>
      <w:r>
        <w:rPr>
          <w:rFonts w:hint="eastAsia" w:ascii="Times New Roman" w:hAnsi="Times New Roman" w:eastAsia="仿宋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工程造价咨询业务除外）</w:t>
      </w:r>
      <w:r>
        <w:rPr>
          <w:rFonts w:ascii="Times New Roman" w:hAnsi="Times New Roman" w:eastAsia="仿宋_GB2312" w:cs="Times New Roman"/>
          <w:b/>
          <w:bCs/>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不接受联合体投标。若不满足资格要求的投标人投标，招标人不退还投标保证金。</w:t>
      </w:r>
    </w:p>
    <w:p w14:paraId="502F7703">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2F909EB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04190614">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w:t>
      </w:r>
      <w:r>
        <w:rPr>
          <w:rFonts w:hint="eastAsia" w:ascii="Times New Roman" w:hAnsi="Times New Roman" w:eastAsia="仿宋_GB2312" w:cs="Times New Roman"/>
          <w:color w:val="333333"/>
          <w:sz w:val="32"/>
          <w:szCs w:val="32"/>
          <w:highlight w:val="none"/>
          <w:shd w:val="clear" w:color="auto" w:fill="FFFFFF"/>
          <w:lang w:eastAsia="zh-CN"/>
        </w:rPr>
        <w:t>招标人</w:t>
      </w:r>
      <w:r>
        <w:rPr>
          <w:rFonts w:hint="eastAsia" w:ascii="Times New Roman" w:hAnsi="Times New Roman" w:eastAsia="仿宋_GB2312" w:cs="Times New Roman"/>
          <w:color w:val="333333"/>
          <w:sz w:val="32"/>
          <w:szCs w:val="32"/>
          <w:highlight w:val="none"/>
          <w:shd w:val="clear" w:color="auto" w:fill="FFFFFF"/>
        </w:rPr>
        <w:t>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294D8169">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hint="eastAsia" w:ascii="Times New Roman" w:hAnsi="Times New Roman" w:eastAsia="仿宋_GB2312" w:cs="Times New Roman"/>
          <w:color w:val="auto"/>
          <w:sz w:val="32"/>
          <w:szCs w:val="32"/>
          <w:highlight w:val="none"/>
          <w:shd w:val="clear" w:color="auto" w:fill="FFFFFF"/>
        </w:rPr>
        <w:t>。</w:t>
      </w:r>
    </w:p>
    <w:p w14:paraId="27E09B6F">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14:paraId="5727CEAE">
      <w:pPr>
        <w:spacing w:line="580" w:lineRule="exact"/>
        <w:ind w:firstLine="640" w:firstLineChars="200"/>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1、投标保证金的金额：</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ascii="Times New Roman" w:hAnsi="Times New Roman" w:eastAsia="仿宋_GB2312" w:cs="Times New Roman"/>
          <w:color w:val="auto"/>
          <w:sz w:val="32"/>
          <w:szCs w:val="32"/>
          <w:highlight w:val="none"/>
          <w:u w:val="none"/>
          <w:shd w:val="clear" w:color="auto" w:fill="FFFFFF"/>
        </w:rPr>
        <w:t>元人民币</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rPr>
        <w:t>投标保证金在线缴纳。</w:t>
      </w:r>
    </w:p>
    <w:p w14:paraId="517759A1">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060D1444">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38228E87">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4A62A441">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5E5055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（3）投标人在投标活动中有串标、围标、弄虚作假或投标欺诈行为，经招投标监督部门查证属实的，投标保证金也不予退还。</w:t>
      </w:r>
    </w:p>
    <w:p w14:paraId="4C16281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72D8DF06">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49CD85D9">
      <w:pPr>
        <w:spacing w:line="580" w:lineRule="exact"/>
        <w:ind w:firstLine="640" w:firstLineChars="200"/>
        <w:jc w:val="left"/>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w:t>
      </w:r>
      <w:r>
        <w:rPr>
          <w:rFonts w:hint="eastAsia" w:ascii="Times New Roman" w:hAnsi="Times New Roman" w:eastAsia="仿宋_GB2312" w:cs="Times New Roman"/>
          <w:color w:val="auto"/>
          <w:sz w:val="32"/>
          <w:szCs w:val="32"/>
          <w:highlight w:val="none"/>
          <w:shd w:val="clear" w:color="auto" w:fill="FFFFFF"/>
        </w:rPr>
        <w:t>履约保证金=中标价的</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10  </w:t>
      </w:r>
      <w:r>
        <w:rPr>
          <w:rFonts w:hint="eastAsia" w:ascii="Times New Roman" w:hAnsi="Times New Roman" w:eastAsia="仿宋_GB2312" w:cs="Times New Roman"/>
          <w:color w:val="auto"/>
          <w:sz w:val="32"/>
          <w:szCs w:val="32"/>
          <w:highlight w:val="none"/>
          <w:shd w:val="clear" w:color="auto" w:fill="FFFFFF"/>
          <w:lang w:val="en-US" w:eastAsia="zh-CN"/>
        </w:rPr>
        <w:t>%。</w:t>
      </w:r>
    </w:p>
    <w:p w14:paraId="001E1D31">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rPr>
        <w:t>履约担保的形式和时间：</w:t>
      </w:r>
      <w:r>
        <w:rPr>
          <w:rFonts w:hint="eastAsia" w:ascii="Times New Roman" w:hAnsi="Times New Roman" w:eastAsia="仿宋_GB2312" w:cs="Times New Roman"/>
          <w:color w:val="auto"/>
          <w:sz w:val="32"/>
          <w:szCs w:val="32"/>
          <w:highlight w:val="none"/>
          <w:shd w:val="clear" w:color="auto" w:fill="FFFFFF"/>
          <w:lang w:val="en-US" w:eastAsia="zh-CN"/>
        </w:rPr>
        <w:t>履约保证金采用现金担保。现金担保必须通过中标人的基本账户以银行转账方式提交到招标人指定账户。</w:t>
      </w:r>
      <w:r>
        <w:rPr>
          <w:rFonts w:hint="eastAsia" w:ascii="Times New Roman" w:hAnsi="Times New Roman" w:eastAsia="仿宋_GB2312" w:cs="Times New Roman"/>
          <w:color w:val="auto"/>
          <w:sz w:val="32"/>
          <w:szCs w:val="32"/>
          <w:highlight w:val="none"/>
          <w:shd w:val="clear" w:color="auto" w:fill="FFFFFF"/>
        </w:rPr>
        <w:t>提交时间为收到中标（选）通知书后</w:t>
      </w:r>
      <w:r>
        <w:rPr>
          <w:rFonts w:hint="eastAsia" w:ascii="Times New Roman" w:hAnsi="Times New Roman" w:eastAsia="仿宋_GB2312" w:cs="Times New Roman"/>
          <w:color w:val="auto"/>
          <w:sz w:val="32"/>
          <w:szCs w:val="32"/>
          <w:highlight w:val="none"/>
          <w:shd w:val="clear" w:color="auto" w:fill="FFFFFF"/>
          <w:lang w:val="en-US" w:eastAsia="zh-CN"/>
        </w:rPr>
        <w:t>7个工作</w:t>
      </w:r>
      <w:r>
        <w:rPr>
          <w:rFonts w:hint="eastAsia" w:ascii="Times New Roman" w:hAnsi="Times New Roman" w:eastAsia="仿宋_GB2312" w:cs="Times New Roman"/>
          <w:color w:val="auto"/>
          <w:sz w:val="32"/>
          <w:szCs w:val="32"/>
          <w:highlight w:val="none"/>
          <w:shd w:val="clear" w:color="auto" w:fill="FFFFFF"/>
        </w:rPr>
        <w:t>日内。</w:t>
      </w:r>
      <w:r>
        <w:rPr>
          <w:rFonts w:hint="eastAsia" w:ascii="Times New Roman" w:hAnsi="Times New Roman" w:eastAsia="仿宋_GB2312" w:cs="Times New Roman"/>
          <w:color w:val="auto"/>
          <w:sz w:val="32"/>
          <w:szCs w:val="32"/>
          <w:highlight w:val="none"/>
          <w:shd w:val="clear" w:color="auto" w:fill="FFFFFF"/>
          <w:lang w:val="en-US" w:eastAsia="zh-CN"/>
        </w:rPr>
        <w:t>若未在约定时间内提交履约保证金，招标人有权取消中标人的中标资格，或有权要求中标人按不低于未提交担保金额的10%承担违约责任和利息。若中标人在招标文件要求的合同签订时间前仍未提交符合要求的履约担保并承担违约责任的，视为中标人放弃中标资格。</w:t>
      </w:r>
    </w:p>
    <w:p w14:paraId="0E2B9B88">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履约担保的退还：</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在履行完本合同所约定的义务后，</w:t>
      </w:r>
      <w:r>
        <w:rPr>
          <w:rFonts w:hint="eastAsia" w:ascii="Times New Roman" w:hAnsi="Times New Roman" w:eastAsia="仿宋_GB2312" w:cs="Times New Roman"/>
          <w:color w:val="auto"/>
          <w:sz w:val="32"/>
          <w:szCs w:val="32"/>
          <w:highlight w:val="none"/>
          <w:shd w:val="clear" w:color="auto" w:fill="FFFFFF"/>
          <w:lang w:val="en-US" w:eastAsia="zh-CN"/>
        </w:rPr>
        <w:t>经招标人确认无违约或扣款事项，在</w:t>
      </w:r>
      <w:r>
        <w:rPr>
          <w:rFonts w:hint="eastAsia" w:ascii="Times New Roman" w:hAnsi="Times New Roman" w:eastAsia="仿宋_GB2312" w:cs="Times New Roman"/>
          <w:color w:val="auto"/>
          <w:sz w:val="32"/>
          <w:szCs w:val="32"/>
          <w:highlight w:val="none"/>
          <w:shd w:val="clear" w:color="auto" w:fill="FFFFFF"/>
        </w:rPr>
        <w:t>工程竣工验收合格后，</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可向</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提交书面申请及相关附件，</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在</w:t>
      </w:r>
      <w:r>
        <w:rPr>
          <w:rFonts w:hint="eastAsia" w:ascii="Times New Roman" w:hAnsi="Times New Roman" w:eastAsia="仿宋_GB2312" w:cs="Times New Roman"/>
          <w:color w:val="auto"/>
          <w:sz w:val="32"/>
          <w:szCs w:val="32"/>
          <w:highlight w:val="none"/>
          <w:shd w:val="clear" w:color="auto" w:fill="FFFFFF"/>
          <w:lang w:val="en-US" w:eastAsia="zh-CN"/>
        </w:rPr>
        <w:t>30</w:t>
      </w:r>
      <w:r>
        <w:rPr>
          <w:rFonts w:hint="eastAsia" w:ascii="Times New Roman" w:hAnsi="Times New Roman" w:eastAsia="仿宋_GB2312" w:cs="Times New Roman"/>
          <w:color w:val="auto"/>
          <w:sz w:val="32"/>
          <w:szCs w:val="32"/>
          <w:highlight w:val="none"/>
          <w:shd w:val="clear" w:color="auto" w:fill="FFFFFF"/>
        </w:rPr>
        <w:t>个工作日内按照</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指定的账户无息返还履约保证金。</w:t>
      </w:r>
    </w:p>
    <w:p w14:paraId="627E6D0B">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rPr>
        <w:t xml:space="preserve"> 本合同约定的所有违约金，</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有权直接在履约保证金内予以扣除，</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须在10日内补足。</w:t>
      </w:r>
    </w:p>
    <w:p w14:paraId="7BCE7CFD">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2EB150AB">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134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-201930</wp:posOffset>
              </wp:positionV>
              <wp:extent cx="76136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1365" cy="314325"/>
                      </a:xfrm>
                      <a:prstGeom prst="rect">
                        <a:avLst/>
                      </a:prstGeom>
                      <a:noFill/>
                      <a:ln w="6350">
                        <a:noFill/>
                      </a:ln>
                    </wps:spPr>
                    <wps:txbx>
                      <w:txbxContent>
                        <w:p w14:paraId="06AD1B2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5.9pt;height:24.75pt;width:59.95pt;mso-position-horizontal:outside;mso-position-horizontal-relative:margin;z-index:251659264;mso-width-relative:page;mso-height-relative:page;" filled="f" stroked="f" coordsize="21600,21600" o:gfxdata="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s59kdUAAAAHAQAADwAAAAAAAAABACAAAAAiAAAAZHJzL2Rvd25yZXYueG1sUEsB&#10;AhQAFAAAAAgAh07iQHy5lL8xAgAAVQQAAA4AAAAAAAAAAQAgAAAAJAEAAGRycy9lMm9Eb2MueG1s&#10;UEsFBgAAAAAGAAYAWQEAAMcFAAAAAA==&#10;">
              <v:fill on="f" focussize="0,0"/>
              <v:stroke on="f" weight="0.5pt"/>
              <v:imagedata o:title=""/>
              <o:lock v:ext="edit" aspectratio="f"/>
              <v:textbox inset="0mm,0mm,0mm,0mm">
                <w:txbxContent>
                  <w:p w14:paraId="06AD1B2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A85CB8"/>
    <w:rsid w:val="0D6B5E1E"/>
    <w:rsid w:val="0D79464E"/>
    <w:rsid w:val="0E8670EE"/>
    <w:rsid w:val="0EA913ED"/>
    <w:rsid w:val="0ECB6F81"/>
    <w:rsid w:val="0F566461"/>
    <w:rsid w:val="0F571BC3"/>
    <w:rsid w:val="0F625791"/>
    <w:rsid w:val="0F8C26B9"/>
    <w:rsid w:val="0F9E582B"/>
    <w:rsid w:val="0FE1169B"/>
    <w:rsid w:val="105C794B"/>
    <w:rsid w:val="11222B7C"/>
    <w:rsid w:val="11BE24C2"/>
    <w:rsid w:val="12396910"/>
    <w:rsid w:val="123F334E"/>
    <w:rsid w:val="12492C39"/>
    <w:rsid w:val="128F7F71"/>
    <w:rsid w:val="12AA67EE"/>
    <w:rsid w:val="131B68ED"/>
    <w:rsid w:val="13B82F0C"/>
    <w:rsid w:val="144E40B6"/>
    <w:rsid w:val="145B0700"/>
    <w:rsid w:val="14F72000"/>
    <w:rsid w:val="15FD6849"/>
    <w:rsid w:val="16064511"/>
    <w:rsid w:val="164C58EC"/>
    <w:rsid w:val="16F40DF8"/>
    <w:rsid w:val="17221880"/>
    <w:rsid w:val="179367C7"/>
    <w:rsid w:val="17B43CBC"/>
    <w:rsid w:val="17EE7EE3"/>
    <w:rsid w:val="17F43647"/>
    <w:rsid w:val="18255E61"/>
    <w:rsid w:val="18754136"/>
    <w:rsid w:val="18AD25BF"/>
    <w:rsid w:val="18EC2A87"/>
    <w:rsid w:val="19067FAC"/>
    <w:rsid w:val="1924184E"/>
    <w:rsid w:val="196A0D31"/>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1690C01"/>
    <w:rsid w:val="22696E84"/>
    <w:rsid w:val="233560DF"/>
    <w:rsid w:val="23C45027"/>
    <w:rsid w:val="23D70685"/>
    <w:rsid w:val="242023D2"/>
    <w:rsid w:val="24AB5C5E"/>
    <w:rsid w:val="25281240"/>
    <w:rsid w:val="25725768"/>
    <w:rsid w:val="25ED1E01"/>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94039"/>
    <w:rsid w:val="2F2A0BDD"/>
    <w:rsid w:val="2FC02051"/>
    <w:rsid w:val="300A7A53"/>
    <w:rsid w:val="30362245"/>
    <w:rsid w:val="30843F9C"/>
    <w:rsid w:val="30C746A1"/>
    <w:rsid w:val="311512D6"/>
    <w:rsid w:val="31322DFC"/>
    <w:rsid w:val="31772558"/>
    <w:rsid w:val="31FA6DEA"/>
    <w:rsid w:val="326A4893"/>
    <w:rsid w:val="3270404B"/>
    <w:rsid w:val="3289275F"/>
    <w:rsid w:val="335624D3"/>
    <w:rsid w:val="33856BA1"/>
    <w:rsid w:val="338A2246"/>
    <w:rsid w:val="338C389D"/>
    <w:rsid w:val="33AE58FD"/>
    <w:rsid w:val="349626BB"/>
    <w:rsid w:val="35473E29"/>
    <w:rsid w:val="361919D6"/>
    <w:rsid w:val="36863473"/>
    <w:rsid w:val="36BB6918"/>
    <w:rsid w:val="36E30D66"/>
    <w:rsid w:val="3725798F"/>
    <w:rsid w:val="387A0DE8"/>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3FF01FE4"/>
    <w:rsid w:val="40141B95"/>
    <w:rsid w:val="40CF1130"/>
    <w:rsid w:val="40FB0688"/>
    <w:rsid w:val="41AA0AF9"/>
    <w:rsid w:val="430D4AF7"/>
    <w:rsid w:val="43927675"/>
    <w:rsid w:val="44006D4C"/>
    <w:rsid w:val="442A5F10"/>
    <w:rsid w:val="447A0054"/>
    <w:rsid w:val="44BF6175"/>
    <w:rsid w:val="45175EBE"/>
    <w:rsid w:val="45217784"/>
    <w:rsid w:val="45D51A50"/>
    <w:rsid w:val="46327DA1"/>
    <w:rsid w:val="464854ED"/>
    <w:rsid w:val="465025F0"/>
    <w:rsid w:val="473305F6"/>
    <w:rsid w:val="478D428E"/>
    <w:rsid w:val="47A20FA6"/>
    <w:rsid w:val="47CA7D9C"/>
    <w:rsid w:val="4813257B"/>
    <w:rsid w:val="48FB12C6"/>
    <w:rsid w:val="491C2B75"/>
    <w:rsid w:val="49731256"/>
    <w:rsid w:val="49BF718C"/>
    <w:rsid w:val="49D15E99"/>
    <w:rsid w:val="49F8260D"/>
    <w:rsid w:val="4A1739CD"/>
    <w:rsid w:val="4A2C2648"/>
    <w:rsid w:val="4A331B12"/>
    <w:rsid w:val="4B650E12"/>
    <w:rsid w:val="4C1375B9"/>
    <w:rsid w:val="4C4C77BA"/>
    <w:rsid w:val="4CC56F7B"/>
    <w:rsid w:val="4D4C3002"/>
    <w:rsid w:val="4D550353"/>
    <w:rsid w:val="4D5A32E7"/>
    <w:rsid w:val="4D6139FC"/>
    <w:rsid w:val="4E55752A"/>
    <w:rsid w:val="4EE9663D"/>
    <w:rsid w:val="4EFC0634"/>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B180CC2"/>
    <w:rsid w:val="5D0F01EA"/>
    <w:rsid w:val="5D6A27EE"/>
    <w:rsid w:val="5DEE13E8"/>
    <w:rsid w:val="5DF90215"/>
    <w:rsid w:val="5E9E19A7"/>
    <w:rsid w:val="5FCA52BF"/>
    <w:rsid w:val="5FEB1C14"/>
    <w:rsid w:val="60EF3A25"/>
    <w:rsid w:val="60FA4AA9"/>
    <w:rsid w:val="613D305D"/>
    <w:rsid w:val="6303304E"/>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E929B3"/>
    <w:rsid w:val="69EB4BDC"/>
    <w:rsid w:val="6A29466B"/>
    <w:rsid w:val="6A935C7F"/>
    <w:rsid w:val="6BCA3D49"/>
    <w:rsid w:val="6C5A6E40"/>
    <w:rsid w:val="6C7E480C"/>
    <w:rsid w:val="6CE60925"/>
    <w:rsid w:val="6D060267"/>
    <w:rsid w:val="6E4268B2"/>
    <w:rsid w:val="6E90420F"/>
    <w:rsid w:val="6F2E03B4"/>
    <w:rsid w:val="708E757A"/>
    <w:rsid w:val="725235A6"/>
    <w:rsid w:val="737204BA"/>
    <w:rsid w:val="74157E6A"/>
    <w:rsid w:val="74C067B1"/>
    <w:rsid w:val="74C330C7"/>
    <w:rsid w:val="74EE5B71"/>
    <w:rsid w:val="75C10969"/>
    <w:rsid w:val="75EA4833"/>
    <w:rsid w:val="760148A5"/>
    <w:rsid w:val="76835289"/>
    <w:rsid w:val="76D1720E"/>
    <w:rsid w:val="771E1099"/>
    <w:rsid w:val="77322503"/>
    <w:rsid w:val="77513DB8"/>
    <w:rsid w:val="77D8328C"/>
    <w:rsid w:val="77E3025C"/>
    <w:rsid w:val="787F50C8"/>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autoRedefine/>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qFormat/>
    <w:uiPriority w:val="99"/>
    <w:pPr>
      <w:ind w:firstLine="420" w:firstLineChars="200"/>
    </w:pPr>
  </w:style>
  <w:style w:type="paragraph" w:customStyle="1" w:styleId="1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6">
    <w:name w:val="正文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1"/>
    <w:basedOn w:val="18"/>
    <w:qFormat/>
    <w:uiPriority w:val="0"/>
    <w:pPr>
      <w:widowControl w:val="0"/>
      <w:jc w:val="both"/>
    </w:pPr>
    <w:rPr>
      <w:rFonts w:ascii="Calibri" w:hAnsi="Calibri"/>
      <w:kern w:val="2"/>
      <w:sz w:val="21"/>
      <w:szCs w:val="22"/>
      <w:lang w:val="en-US" w:eastAsia="zh-CN" w:bidi="ar-SA"/>
    </w:rPr>
  </w:style>
  <w:style w:type="paragraph" w:customStyle="1" w:styleId="18">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1633</Words>
  <Characters>1690</Characters>
  <Lines>13</Lines>
  <Paragraphs>3</Paragraphs>
  <TotalTime>1</TotalTime>
  <ScaleCrop>false</ScaleCrop>
  <LinksUpToDate>false</LinksUpToDate>
  <CharactersWithSpaces>1747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2023-07-24T08:27:00Z</cp:lastPrinted>
  <dcterms:modified xsi:type="dcterms:W3CDTF">2024-10-31T08:54:20Z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356319B22027450295E6CA0FFDFD3876_13</vt:lpwstr>
  </property>
</Properties>
</file>