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5B82">
      <w:pPr>
        <w:spacing w:line="700" w:lineRule="exact"/>
        <w:jc w:val="center"/>
        <w:rPr>
          <w:rFonts w:ascii="Times New Roman" w:hAnsi="Times New Roman" w:eastAsia="方正小标宋简体" w:cs="Times New Roman"/>
          <w:color w:val="auto"/>
          <w:sz w:val="44"/>
          <w:szCs w:val="44"/>
          <w:highlight w:val="none"/>
          <w:shd w:val="clear" w:color="auto" w:fill="FFFFFF"/>
        </w:rPr>
      </w:pPr>
      <w:r>
        <w:rPr>
          <w:rFonts w:hint="eastAsia" w:ascii="Times New Roman" w:hAnsi="Times New Roman" w:eastAsia="方正小标宋简体" w:cs="Times New Roman"/>
          <w:color w:val="auto"/>
          <w:sz w:val="44"/>
          <w:szCs w:val="44"/>
          <w:highlight w:val="none"/>
          <w:shd w:val="clear" w:color="auto" w:fill="FFFFFF"/>
          <w:lang w:val="en-US" w:eastAsia="zh-CN"/>
        </w:rPr>
        <w:t>眉山天府新区2024年视高第一水厂输水管新建项目监理-</w:t>
      </w:r>
      <w:r>
        <w:rPr>
          <w:rFonts w:ascii="Times New Roman" w:hAnsi="Times New Roman" w:eastAsia="方正小标宋简体" w:cs="Times New Roman"/>
          <w:color w:val="auto"/>
          <w:sz w:val="44"/>
          <w:szCs w:val="44"/>
          <w:highlight w:val="none"/>
          <w:shd w:val="clear" w:color="auto" w:fill="FFFFFF"/>
        </w:rPr>
        <w:t>投标人须知</w:t>
      </w:r>
    </w:p>
    <w:p w14:paraId="663780D5">
      <w:pPr>
        <w:spacing w:line="580" w:lineRule="exact"/>
        <w:rPr>
          <w:rFonts w:ascii="Times New Roman" w:hAnsi="Times New Roman" w:eastAsia="宋体" w:cs="Times New Roman"/>
          <w:b/>
          <w:bCs/>
          <w:color w:val="auto"/>
          <w:sz w:val="32"/>
          <w:szCs w:val="32"/>
          <w:highlight w:val="none"/>
          <w:shd w:val="clear" w:color="auto" w:fill="FFFFFF"/>
        </w:rPr>
      </w:pPr>
    </w:p>
    <w:p w14:paraId="33C24597">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14:paraId="14B54C9C">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眉山天府新区2024年视高第一水厂输水管新建项目</w:t>
      </w:r>
      <w:r>
        <w:rPr>
          <w:rFonts w:hint="eastAsia" w:ascii="Times New Roman" w:hAnsi="Times New Roman" w:eastAsia="仿宋_GB2312" w:cs="Times New Roman"/>
          <w:color w:val="auto"/>
          <w:sz w:val="32"/>
          <w:szCs w:val="32"/>
          <w:highlight w:val="none"/>
          <w:shd w:val="clear" w:color="auto" w:fill="FFFFFF"/>
        </w:rPr>
        <w:t>监理。</w:t>
      </w:r>
    </w:p>
    <w:p w14:paraId="307BAB1B">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14:paraId="28C84B46">
      <w:pPr>
        <w:spacing w:line="580" w:lineRule="exact"/>
        <w:ind w:firstLine="640" w:firstLineChars="200"/>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auto"/>
          <w:sz w:val="32"/>
          <w:szCs w:val="32"/>
          <w:highlight w:val="none"/>
          <w:shd w:val="clear" w:color="auto" w:fill="FFFFFF"/>
        </w:rPr>
        <w:t>3、工程规模：在视高第一水厂和龙池寺水库之间新建DN500输水管道约1300米，供水管材采用涂塑钢管</w:t>
      </w:r>
      <w:r>
        <w:rPr>
          <w:rFonts w:hint="default" w:ascii="Times New Roman" w:hAnsi="Times New Roman" w:eastAsia="仿宋_GB2312" w:cs="Times New Roman"/>
          <w:color w:val="auto"/>
          <w:sz w:val="32"/>
          <w:szCs w:val="32"/>
          <w:highlight w:val="none"/>
          <w:shd w:val="clear" w:color="auto" w:fill="FFFFFF"/>
          <w:lang w:val="en-US" w:eastAsia="zh-CN"/>
        </w:rPr>
        <w:t>。</w:t>
      </w:r>
    </w:p>
    <w:p w14:paraId="50AC71F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4、招标范围：工程施工及保修阶段的“三控制、两管理、一协调”即质量安全控制、工期进度控制、投资成本控制；合同管理和信息管理、各方关系的组织协调。施工阶段监理，包含工程量清单、施工图及其变更、监理试验检测、竣工验收结算及缺陷责任期、双方签订的补充协议等监理服务范围。</w:t>
      </w:r>
    </w:p>
    <w:p w14:paraId="4A55E8BF">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59331.26元（含税）</w:t>
      </w:r>
      <w:r>
        <w:rPr>
          <w:rFonts w:hint="eastAsia" w:ascii="Times New Roman" w:hAnsi="Times New Roman" w:eastAsia="仿宋_GB2312" w:cs="Times New Roman"/>
          <w:color w:val="auto"/>
          <w:sz w:val="32"/>
          <w:szCs w:val="32"/>
          <w:highlight w:val="none"/>
          <w:shd w:val="clear" w:color="auto" w:fill="FFFFFF"/>
        </w:rPr>
        <w:t>。</w:t>
      </w:r>
    </w:p>
    <w:p w14:paraId="31474467">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14:paraId="25C60958">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14:paraId="7D692C7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、服务期限：自合同签订之日起生效，至双方履行完合同约定的义务后自行废止</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    </w:t>
      </w:r>
    </w:p>
    <w:p w14:paraId="73CF730C">
      <w:pPr>
        <w:spacing w:line="580" w:lineRule="exact"/>
        <w:ind w:firstLine="620" w:firstLineChars="200"/>
        <w:jc w:val="left"/>
        <w:rPr>
          <w:rFonts w:ascii="Times New Roman" w:hAnsi="Times New Roman" w:eastAsia="仿宋_GB2312" w:cs="Times New Roman"/>
          <w:color w:val="auto"/>
          <w:w w:val="97"/>
          <w:sz w:val="32"/>
          <w:szCs w:val="32"/>
          <w:highlight w:val="none"/>
          <w:shd w:val="clear" w:color="auto" w:fill="FFFFFF"/>
        </w:rPr>
      </w:pPr>
      <w:r>
        <w:rPr>
          <w:rFonts w:hint="eastAsia" w:ascii="Times New Roman" w:hAnsi="Times New Roman" w:eastAsia="仿宋_GB2312" w:cs="Times New Roman"/>
          <w:color w:val="auto"/>
          <w:w w:val="97"/>
          <w:sz w:val="32"/>
          <w:szCs w:val="32"/>
          <w:highlight w:val="none"/>
          <w:shd w:val="clear" w:color="auto" w:fill="FFFFFF"/>
          <w:lang w:val="en-US" w:eastAsia="zh-CN"/>
        </w:rPr>
        <w:t>9</w:t>
      </w:r>
      <w:r>
        <w:rPr>
          <w:rFonts w:hint="eastAsia" w:ascii="Times New Roman" w:hAnsi="Times New Roman" w:eastAsia="仿宋_GB2312" w:cs="Times New Roman"/>
          <w:color w:val="auto"/>
          <w:w w:val="97"/>
          <w:sz w:val="32"/>
          <w:szCs w:val="32"/>
          <w:highlight w:val="none"/>
          <w:shd w:val="clear" w:color="auto" w:fill="FFFFFF"/>
        </w:rPr>
        <w:t>、质量要求：符合国家相关法律法规及相关规范、标准要求。  </w:t>
      </w:r>
      <w:r>
        <w:rPr>
          <w:rFonts w:ascii="Times New Roman" w:hAnsi="Times New Roman" w:eastAsia="仿宋_GB2312" w:cs="Times New Roman"/>
          <w:color w:val="auto"/>
          <w:w w:val="97"/>
          <w:sz w:val="32"/>
          <w:szCs w:val="32"/>
          <w:highlight w:val="none"/>
          <w:shd w:val="clear" w:color="auto" w:fill="FFFFFF"/>
        </w:rPr>
        <w:t>  </w:t>
      </w:r>
    </w:p>
    <w:p w14:paraId="6AAE8D0E">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w:t>
      </w:r>
      <w:r>
        <w:rPr>
          <w:rFonts w:hint="eastAsia" w:ascii="Times New Roman" w:hAnsi="Times New Roman" w:eastAsia="仿宋_GB2312" w:cs="Times New Roman"/>
          <w:b/>
          <w:bCs/>
          <w:color w:val="auto"/>
          <w:sz w:val="32"/>
          <w:szCs w:val="32"/>
          <w:highlight w:val="none"/>
          <w:shd w:val="clear" w:color="auto" w:fill="FFFFFF"/>
          <w:lang w:val="en-US" w:eastAsia="zh-CN"/>
        </w:rPr>
        <w:t>（包含签订合同后解除合同的情形）</w:t>
      </w:r>
      <w:r>
        <w:rPr>
          <w:rFonts w:hint="eastAsia" w:ascii="Times New Roman" w:hAnsi="Times New Roman" w:eastAsia="仿宋_GB2312" w:cs="Times New Roman"/>
          <w:color w:val="auto"/>
          <w:sz w:val="32"/>
          <w:szCs w:val="32"/>
          <w:highlight w:val="none"/>
          <w:shd w:val="clear" w:color="auto" w:fill="FFFFFF"/>
          <w:lang w:val="en-US" w:eastAsia="zh-CN"/>
        </w:rPr>
        <w:t>，招标人可在第二、第三名同意第一名报价的情况下，依次沿用第二、第三名的供应商。</w:t>
      </w:r>
    </w:p>
    <w:p w14:paraId="6492FBF9">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14:paraId="3658A510">
      <w:pPr>
        <w:spacing w:line="580" w:lineRule="exact"/>
        <w:ind w:firstLine="640" w:firstLineChars="200"/>
        <w:jc w:val="left"/>
        <w:rPr>
          <w:rFonts w:hint="eastAsia" w:ascii="Times New Roman" w:hAnsi="Times New Roman" w:eastAsia="楷体_GB2312" w:cs="Times New Roman"/>
          <w:color w:val="auto"/>
          <w:sz w:val="32"/>
          <w:szCs w:val="32"/>
          <w:highlight w:val="none"/>
          <w:shd w:val="clear" w:color="auto" w:fill="FFFFFF"/>
          <w:lang w:val="en-US" w:eastAsia="zh-CN"/>
        </w:rPr>
      </w:pPr>
      <w:r>
        <w:rPr>
          <w:rFonts w:ascii="Times New Roman" w:hAnsi="Times New Roman" w:eastAsia="楷体_GB2312" w:cs="Times New Roman"/>
          <w:color w:val="auto"/>
          <w:sz w:val="32"/>
          <w:szCs w:val="32"/>
          <w:highlight w:val="none"/>
          <w:shd w:val="clear" w:color="auto" w:fill="FFFFFF"/>
        </w:rPr>
        <w:t>1、资质要求：</w:t>
      </w:r>
    </w:p>
    <w:p w14:paraId="144EB750">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val="en-US" w:eastAsia="zh-CN"/>
        </w:rPr>
        <w:t>（1）具备独立企业法人资格，具有国家建设行政主管部门颁发的市政公用工程专业监理丙级及以上资质</w:t>
      </w:r>
      <w:r>
        <w:rPr>
          <w:rFonts w:hint="eastAsia" w:ascii="Times New Roman" w:hAnsi="Times New Roman" w:eastAsia="仿宋_GB2312" w:cs="Times New Roman"/>
          <w:b/>
          <w:bCs/>
          <w:color w:val="auto"/>
          <w:sz w:val="32"/>
          <w:szCs w:val="32"/>
          <w:highlight w:val="none"/>
          <w:shd w:val="clear" w:color="auto" w:fill="FFFFFF"/>
        </w:rPr>
        <w:t>。</w:t>
      </w:r>
    </w:p>
    <w:p w14:paraId="7AF1839D">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rPr>
      </w:pP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lang w:val="en-US" w:eastAsia="zh-CN"/>
        </w:rPr>
        <w:t>2</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楷体_GB2312" w:cs="Times New Roman"/>
          <w:b/>
          <w:bCs/>
          <w:color w:val="auto"/>
          <w:sz w:val="32"/>
          <w:szCs w:val="32"/>
          <w:highlight w:val="none"/>
          <w:shd w:val="clear" w:color="auto" w:fill="FFFFFF"/>
        </w:rPr>
        <w:t>项目</w:t>
      </w:r>
      <w:r>
        <w:rPr>
          <w:rFonts w:ascii="Times New Roman" w:hAnsi="Times New Roman" w:eastAsia="楷体_GB2312" w:cs="Times New Roman"/>
          <w:b/>
          <w:bCs/>
          <w:color w:val="auto"/>
          <w:sz w:val="32"/>
          <w:szCs w:val="32"/>
          <w:highlight w:val="none"/>
          <w:shd w:val="clear" w:color="auto" w:fill="FFFFFF"/>
        </w:rPr>
        <w:t>人员要求</w:t>
      </w:r>
      <w:r>
        <w:rPr>
          <w:rFonts w:hint="eastAsia" w:ascii="Times New Roman" w:hAnsi="Times New Roman" w:eastAsia="楷体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本项目配备总监理工程师1名，需具备建设行政主管部门颁发的注册监理工程师执业资格证书（市政公用工程）;专业监理工程师1名，需具备建设行政主管部门颁发的注册监理工程师执业资格证书（市政公用工程）；需提供人员资格证书及投标前三个月内的社保缴纳证明:人员证书交招标人实行压证管理</w:t>
      </w:r>
      <w:r>
        <w:rPr>
          <w:rFonts w:hint="eastAsia" w:ascii="Times New Roman" w:hAnsi="Times New Roman" w:eastAsia="仿宋_GB2312" w:cs="Times New Roman"/>
          <w:b/>
          <w:bCs/>
          <w:color w:val="auto"/>
          <w:sz w:val="32"/>
          <w:szCs w:val="32"/>
          <w:highlight w:val="none"/>
          <w:shd w:val="clear" w:color="auto" w:fill="FFFFFF"/>
        </w:rPr>
        <w:t>。</w:t>
      </w:r>
    </w:p>
    <w:p w14:paraId="53B54C11">
      <w:pPr>
        <w:pStyle w:val="2"/>
        <w:ind w:firstLine="643" w:firstLineChars="200"/>
        <w:rPr>
          <w:rFonts w:hint="eastAsia"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（3）具有良好的商业信誉和健全的财务会计制度；</w:t>
      </w:r>
    </w:p>
    <w:p w14:paraId="5F32BD09">
      <w:pPr>
        <w:ind w:firstLine="643" w:firstLineChars="200"/>
        <w:rPr>
          <w:rFonts w:hint="eastAsia" w:ascii="Times New Roman" w:hAnsi="Times New Roman" w:eastAsia="仿宋_GB2312" w:cs="Times New Roman"/>
          <w:b/>
          <w:bCs/>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bCs/>
          <w:color w:val="auto"/>
          <w:kern w:val="2"/>
          <w:sz w:val="32"/>
          <w:szCs w:val="32"/>
          <w:highlight w:val="none"/>
          <w:shd w:val="clear" w:color="auto" w:fill="FFFFFF"/>
          <w:lang w:val="en-US" w:eastAsia="zh-CN" w:bidi="ar-SA"/>
        </w:rPr>
        <w:t>（4）具有履行合同所必需的设备和专业技术能力；</w:t>
      </w:r>
    </w:p>
    <w:p w14:paraId="1666E5CF">
      <w:pPr>
        <w:pStyle w:val="2"/>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5）具有依法缴纳税收和社会保障资金的良好记录；</w:t>
      </w:r>
    </w:p>
    <w:p w14:paraId="3795E0C1">
      <w:pPr>
        <w:ind w:firstLine="643" w:firstLineChars="200"/>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（6）参加本次投标前三年内，在经营活动中没有重大违法记录；</w:t>
      </w:r>
    </w:p>
    <w:p w14:paraId="034671EA">
      <w:pPr>
        <w:pStyle w:val="2"/>
        <w:ind w:firstLine="643" w:firstLineChars="200"/>
        <w:rPr>
          <w:rFonts w:hint="default"/>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（7）企业法定代表人和项目负责人无行贿犯罪记录。</w:t>
      </w:r>
    </w:p>
    <w:p w14:paraId="09A0FA0C">
      <w:pPr>
        <w:spacing w:line="580" w:lineRule="exact"/>
        <w:ind w:firstLine="643"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14:paraId="04834305">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ascii="Times New Roman" w:hAnsi="Times New Roman" w:eastAsia="仿宋_GB2312" w:cs="Times New Roman"/>
          <w:color w:val="auto"/>
          <w:sz w:val="32"/>
          <w:szCs w:val="32"/>
          <w:highlight w:val="none"/>
          <w:shd w:val="clear" w:color="auto" w:fill="FFFFFF"/>
        </w:rPr>
        <w:t>本项目不允许转包，不允许分包，不接受联合体投标。若不满足资格要求的投标人投标，招标人不退还投标保证金。</w:t>
      </w:r>
    </w:p>
    <w:p w14:paraId="4105DA30">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14:paraId="45E66412">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14:paraId="552856C8">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eastAsia" w:ascii="Times New Roman" w:hAnsi="Times New Roman" w:eastAsia="仿宋_GB2312" w:cs="Times New Roman"/>
          <w:color w:val="333333"/>
          <w:sz w:val="32"/>
          <w:szCs w:val="32"/>
          <w:highlight w:val="none"/>
          <w:shd w:val="clear" w:color="auto" w:fill="FFFFFF"/>
        </w:rPr>
        <w:t>中标单位须主动签订并履行与招标人签署的《阳光合作协议》，严禁向甲方或其亲属以现金、礼品（快递送礼）、礼券等任何形式进行赠与</w:t>
      </w:r>
      <w:r>
        <w:rPr>
          <w:rFonts w:ascii="Times New Roman" w:hAnsi="Times New Roman" w:eastAsia="仿宋_GB2312" w:cs="Times New Roman"/>
          <w:color w:val="auto"/>
          <w:sz w:val="32"/>
          <w:szCs w:val="32"/>
          <w:highlight w:val="none"/>
          <w:shd w:val="clear" w:color="auto" w:fill="FFFFFF"/>
        </w:rPr>
        <w:t>。</w:t>
      </w:r>
    </w:p>
    <w:p w14:paraId="1DF86EBF">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ascii="Times New Roman" w:hAnsi="Times New Roman" w:eastAsia="仿宋_GB2312" w:cs="Times New Roman"/>
          <w:color w:val="auto"/>
          <w:sz w:val="32"/>
          <w:szCs w:val="32"/>
          <w:highlight w:val="none"/>
          <w:shd w:val="clear" w:color="auto" w:fill="FFFFFF"/>
        </w:rPr>
        <w:t>。</w:t>
      </w:r>
      <w:bookmarkStart w:id="0" w:name="_GoBack"/>
      <w:bookmarkEnd w:id="0"/>
    </w:p>
    <w:p w14:paraId="3BFC5157">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14:paraId="6F53A59E">
      <w:pPr>
        <w:spacing w:line="580" w:lineRule="exact"/>
        <w:ind w:firstLine="640" w:firstLineChars="200"/>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仿宋_GB2312" w:cs="Times New Roman"/>
          <w:color w:val="auto"/>
          <w:sz w:val="32"/>
          <w:szCs w:val="32"/>
          <w:highlight w:val="none"/>
          <w:shd w:val="clear" w:color="auto" w:fill="FFFFFF"/>
        </w:rPr>
        <w:t>1、投标保证金的金额：</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ascii="Times New Roman" w:hAnsi="Times New Roman" w:eastAsia="仿宋_GB2312" w:cs="Times New Roman"/>
          <w:color w:val="auto"/>
          <w:sz w:val="32"/>
          <w:szCs w:val="32"/>
          <w:highlight w:val="none"/>
          <w:u w:val="none"/>
          <w:shd w:val="clear" w:color="auto" w:fill="FFFFFF"/>
        </w:rPr>
        <w:t>元人民币</w:t>
      </w:r>
      <w:r>
        <w:rPr>
          <w:rFonts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w w:val="93"/>
          <w:sz w:val="32"/>
          <w:szCs w:val="32"/>
          <w:highlight w:val="none"/>
          <w:shd w:val="clear" w:color="auto" w:fill="FFFFFF"/>
        </w:rPr>
        <w:t>投标保证金在线缴纳。</w:t>
      </w:r>
    </w:p>
    <w:p w14:paraId="04FAE4A2">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14:paraId="1D6A36C3">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14:paraId="2DC72730">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14:paraId="1A67596D">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14:paraId="34BC105E">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w:t>
      </w:r>
      <w:r>
        <w:rPr>
          <w:rFonts w:ascii="Times New Roman" w:hAnsi="Times New Roman" w:eastAsia="仿宋_GB2312" w:cs="Times New Roman"/>
          <w:color w:val="auto"/>
          <w:w w:val="97"/>
          <w:sz w:val="32"/>
          <w:szCs w:val="32"/>
          <w:highlight w:val="none"/>
          <w:shd w:val="clear" w:color="auto" w:fill="FFFFFF"/>
        </w:rPr>
        <w:t>欺诈行为，经招投标监督部门查证属实的，投标保证金也不予退还。</w:t>
      </w:r>
    </w:p>
    <w:p w14:paraId="0BA9F416">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r>
        <w:rPr>
          <w:rFonts w:hint="eastAsia" w:ascii="Times New Roman" w:hAnsi="Times New Roman" w:eastAsia="仿宋_GB2312" w:cs="Times New Roman"/>
          <w:color w:val="auto"/>
          <w:sz w:val="32"/>
          <w:szCs w:val="32"/>
          <w:highlight w:val="none"/>
          <w:shd w:val="clear" w:color="auto" w:fill="FFFFFF"/>
          <w:lang w:eastAsia="zh-CN"/>
        </w:rPr>
        <w:t>，并将其纳入《眉山天府新区自主招标</w:t>
      </w:r>
      <w:r>
        <w:rPr>
          <w:rFonts w:hint="eastAsia" w:ascii="Times New Roman" w:hAnsi="Times New Roman" w:eastAsia="仿宋_GB2312" w:cs="Times New Roman"/>
          <w:color w:val="auto"/>
          <w:sz w:val="32"/>
          <w:szCs w:val="32"/>
          <w:highlight w:val="none"/>
          <w:shd w:val="clear" w:color="auto" w:fill="FFFFFF"/>
          <w:lang w:val="en-US" w:eastAsia="zh-CN"/>
        </w:rPr>
        <w:t>服务</w:t>
      </w:r>
      <w:r>
        <w:rPr>
          <w:rFonts w:hint="eastAsia" w:ascii="Times New Roman" w:hAnsi="Times New Roman" w:eastAsia="仿宋_GB2312" w:cs="Times New Roman"/>
          <w:color w:val="auto"/>
          <w:sz w:val="32"/>
          <w:szCs w:val="32"/>
          <w:highlight w:val="none"/>
          <w:shd w:val="clear" w:color="auto" w:fill="FFFFFF"/>
          <w:lang w:eastAsia="zh-CN"/>
        </w:rPr>
        <w:t>平台》黑名单</w:t>
      </w:r>
      <w:r>
        <w:rPr>
          <w:rFonts w:ascii="Times New Roman" w:hAnsi="Times New Roman" w:eastAsia="仿宋_GB2312" w:cs="Times New Roman"/>
          <w:color w:val="auto"/>
          <w:sz w:val="32"/>
          <w:szCs w:val="32"/>
          <w:highlight w:val="none"/>
          <w:shd w:val="clear" w:color="auto" w:fill="FFFFFF"/>
        </w:rPr>
        <w:t>。</w:t>
      </w:r>
    </w:p>
    <w:p w14:paraId="062051D2">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14:paraId="56820039">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shd w:val="clear" w:color="auto" w:fill="FFFFFF"/>
        </w:rPr>
        <w:t>1、</w:t>
      </w:r>
      <w:r>
        <w:rPr>
          <w:rFonts w:hint="default" w:ascii="Times New Roman" w:hAnsi="Times New Roman" w:eastAsia="仿宋_GB2312" w:cs="Times New Roman"/>
          <w:sz w:val="32"/>
          <w:szCs w:val="32"/>
        </w:rPr>
        <w:t>履约保证金条款：基本履约现金担保为中标价的</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10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w:t>
      </w:r>
    </w:p>
    <w:p w14:paraId="4204FEE9">
      <w:pPr>
        <w:widowControl/>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履约担保的形式和时间：履约保证金采用现金担保。现金担保必须通过</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的基本账户以银行转账方式提交到</w:t>
      </w:r>
      <w:r>
        <w:rPr>
          <w:rFonts w:hint="eastAsia" w:ascii="Times New Roman" w:hAnsi="Times New Roman" w:eastAsia="仿宋_GB2312" w:cs="Times New Roman"/>
          <w:sz w:val="32"/>
          <w:szCs w:val="32"/>
          <w:lang w:val="en-US" w:eastAsia="zh-CN"/>
        </w:rPr>
        <w:t>招标人</w:t>
      </w:r>
      <w:r>
        <w:rPr>
          <w:rFonts w:hint="default" w:ascii="Times New Roman" w:hAnsi="Times New Roman" w:eastAsia="仿宋_GB2312" w:cs="Times New Roman"/>
          <w:sz w:val="32"/>
          <w:szCs w:val="32"/>
        </w:rPr>
        <w:t>指定账户。提交时间为收到中标通知书后7个工作日内，若7个工作日内未能到账，视为</w:t>
      </w:r>
      <w:r>
        <w:rPr>
          <w:rFonts w:hint="eastAsia" w:ascii="Times New Roman" w:hAnsi="Times New Roman" w:eastAsia="仿宋_GB2312" w:cs="Times New Roman"/>
          <w:sz w:val="32"/>
          <w:szCs w:val="32"/>
          <w:lang w:val="en-US" w:eastAsia="zh-CN"/>
        </w:rPr>
        <w:t>中标人</w:t>
      </w:r>
      <w:r>
        <w:rPr>
          <w:rFonts w:hint="default" w:ascii="Times New Roman" w:hAnsi="Times New Roman" w:eastAsia="仿宋_GB2312" w:cs="Times New Roman"/>
          <w:sz w:val="32"/>
          <w:szCs w:val="32"/>
        </w:rPr>
        <w:t>自动放弃中标资格。</w:t>
      </w:r>
    </w:p>
    <w:p w14:paraId="6DE374ED">
      <w:pPr>
        <w:widowControl/>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履约保证金在工程竣工验收合格后30个工作日内退还（无息）。</w:t>
      </w:r>
    </w:p>
    <w:p w14:paraId="2B451EA9">
      <w:pPr>
        <w:widowControl/>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本合同约定的所有违约金、赔偿款等，</w:t>
      </w:r>
      <w:r>
        <w:rPr>
          <w:rFonts w:hint="eastAsia" w:ascii="Times New Roman" w:hAnsi="Times New Roman" w:eastAsia="仿宋_GB2312" w:cs="Times New Roman"/>
          <w:sz w:val="32"/>
          <w:szCs w:val="32"/>
          <w:lang w:val="en-US" w:eastAsia="zh-CN"/>
        </w:rPr>
        <w:t>招标人</w:t>
      </w:r>
      <w:r>
        <w:rPr>
          <w:rFonts w:hint="default" w:ascii="Times New Roman" w:hAnsi="Times New Roman" w:eastAsia="仿宋_GB2312" w:cs="Times New Roman"/>
          <w:sz w:val="32"/>
          <w:szCs w:val="32"/>
        </w:rPr>
        <w:t>有权直接在履约保证金内予以扣除，乙方须在10日内补足。</w:t>
      </w:r>
    </w:p>
    <w:p w14:paraId="223C5FE7">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 </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14:paraId="1B20705E">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CD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791845" cy="3448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1845" cy="344805"/>
                      </a:xfrm>
                      <a:prstGeom prst="rect">
                        <a:avLst/>
                      </a:prstGeom>
                      <a:noFill/>
                      <a:ln w="6350">
                        <a:noFill/>
                      </a:ln>
                    </wps:spPr>
                    <wps:txbx>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8.3pt;height:27.15pt;width:62.35pt;mso-position-horizontal:outside;mso-position-horizontal-relative:margin;z-index:251659264;mso-width-relative:page;mso-height-relative:page;" filled="f" stroked="f" coordsize="21600,21600" o:gfxdata="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PgMc3XAAAABwEAAA8AAAAAAAAAAQAgAAAAIgAAAGRycy9kb3ducmV2Lnht&#10;bFBLAQIUABQAAAAIAIdO4kD7jiuFMwIAAFUEAAAOAAAAAAAAAAEAIAAAACYBAABkcnMvZTJvRG9j&#10;LnhtbFBLBQYAAAAABgAGAFkBAADLBQAAAAA=&#10;">
              <v:fill on="f" focussize="0,0"/>
              <v:stroke on="f" weight="0.5pt"/>
              <v:imagedata o:title=""/>
              <o:lock v:ext="edit" aspectratio="f"/>
              <v:textbox inset="0mm,0mm,0mm,0mm">
                <w:txbxContent>
                  <w:p w14:paraId="40F5DF4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E67C0"/>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883513"/>
    <w:rsid w:val="0AA85CB8"/>
    <w:rsid w:val="0D6B5E1E"/>
    <w:rsid w:val="0D79464E"/>
    <w:rsid w:val="0E8670EE"/>
    <w:rsid w:val="0EA913ED"/>
    <w:rsid w:val="0ECB6F81"/>
    <w:rsid w:val="0F8C26B9"/>
    <w:rsid w:val="0F9E582B"/>
    <w:rsid w:val="0FE1169B"/>
    <w:rsid w:val="105C794B"/>
    <w:rsid w:val="11222B7C"/>
    <w:rsid w:val="11901155"/>
    <w:rsid w:val="11BE24C2"/>
    <w:rsid w:val="12396910"/>
    <w:rsid w:val="123F334E"/>
    <w:rsid w:val="12492C39"/>
    <w:rsid w:val="128F7F71"/>
    <w:rsid w:val="12AA67EE"/>
    <w:rsid w:val="131B68ED"/>
    <w:rsid w:val="13B82F0C"/>
    <w:rsid w:val="145B0700"/>
    <w:rsid w:val="147A67DA"/>
    <w:rsid w:val="14F72000"/>
    <w:rsid w:val="15FD6849"/>
    <w:rsid w:val="16064511"/>
    <w:rsid w:val="16B36F4F"/>
    <w:rsid w:val="16F40DF8"/>
    <w:rsid w:val="17221880"/>
    <w:rsid w:val="179367C7"/>
    <w:rsid w:val="17B43CBC"/>
    <w:rsid w:val="17EE7EE3"/>
    <w:rsid w:val="17F43647"/>
    <w:rsid w:val="180B1B5A"/>
    <w:rsid w:val="18255E61"/>
    <w:rsid w:val="18754136"/>
    <w:rsid w:val="18AD25BF"/>
    <w:rsid w:val="18EC2A87"/>
    <w:rsid w:val="19067FAC"/>
    <w:rsid w:val="1924184E"/>
    <w:rsid w:val="196A0D31"/>
    <w:rsid w:val="19A55814"/>
    <w:rsid w:val="19BC2149"/>
    <w:rsid w:val="1A065D66"/>
    <w:rsid w:val="1A096EC5"/>
    <w:rsid w:val="1AA70F7A"/>
    <w:rsid w:val="1AE419D3"/>
    <w:rsid w:val="1B1A7868"/>
    <w:rsid w:val="1B307278"/>
    <w:rsid w:val="1B567027"/>
    <w:rsid w:val="1BF63882"/>
    <w:rsid w:val="1C0F0EE9"/>
    <w:rsid w:val="1CA36E82"/>
    <w:rsid w:val="1CF16908"/>
    <w:rsid w:val="1E6F23E5"/>
    <w:rsid w:val="1F2E3E05"/>
    <w:rsid w:val="1FC542B9"/>
    <w:rsid w:val="20327574"/>
    <w:rsid w:val="20B57E87"/>
    <w:rsid w:val="20EA3552"/>
    <w:rsid w:val="21156B08"/>
    <w:rsid w:val="21625AFD"/>
    <w:rsid w:val="233560DF"/>
    <w:rsid w:val="23C45027"/>
    <w:rsid w:val="23D70685"/>
    <w:rsid w:val="24AB5C5E"/>
    <w:rsid w:val="25281240"/>
    <w:rsid w:val="25725768"/>
    <w:rsid w:val="25F039C4"/>
    <w:rsid w:val="260F18EE"/>
    <w:rsid w:val="261B5929"/>
    <w:rsid w:val="2626661B"/>
    <w:rsid w:val="26C174B2"/>
    <w:rsid w:val="27447DA0"/>
    <w:rsid w:val="27626B2C"/>
    <w:rsid w:val="27BF5938"/>
    <w:rsid w:val="28A94654"/>
    <w:rsid w:val="28E73FF9"/>
    <w:rsid w:val="29A01D51"/>
    <w:rsid w:val="29A42042"/>
    <w:rsid w:val="2A796E3E"/>
    <w:rsid w:val="2A7F593B"/>
    <w:rsid w:val="2A8267C6"/>
    <w:rsid w:val="2ADE1BF3"/>
    <w:rsid w:val="2AE47D54"/>
    <w:rsid w:val="2AFF52F4"/>
    <w:rsid w:val="2BBE207D"/>
    <w:rsid w:val="2BDF043E"/>
    <w:rsid w:val="2C026821"/>
    <w:rsid w:val="2CCE11A9"/>
    <w:rsid w:val="2CF22187"/>
    <w:rsid w:val="2D1A725A"/>
    <w:rsid w:val="2D3030C2"/>
    <w:rsid w:val="2D516AC7"/>
    <w:rsid w:val="2D556B95"/>
    <w:rsid w:val="2D776454"/>
    <w:rsid w:val="2D8A1D61"/>
    <w:rsid w:val="2D8D3ECA"/>
    <w:rsid w:val="2DBD19D0"/>
    <w:rsid w:val="2E0F7FD6"/>
    <w:rsid w:val="2ED91747"/>
    <w:rsid w:val="2F2A0BDD"/>
    <w:rsid w:val="2FC02051"/>
    <w:rsid w:val="300A7A53"/>
    <w:rsid w:val="30362245"/>
    <w:rsid w:val="30843F9C"/>
    <w:rsid w:val="30C746A1"/>
    <w:rsid w:val="311512D6"/>
    <w:rsid w:val="31322DFC"/>
    <w:rsid w:val="31FA6DEA"/>
    <w:rsid w:val="3270404B"/>
    <w:rsid w:val="3289275F"/>
    <w:rsid w:val="335624D3"/>
    <w:rsid w:val="33856BA1"/>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40141B95"/>
    <w:rsid w:val="40CF1130"/>
    <w:rsid w:val="40FB0688"/>
    <w:rsid w:val="430D4AF7"/>
    <w:rsid w:val="43927675"/>
    <w:rsid w:val="44006D4C"/>
    <w:rsid w:val="442A5F10"/>
    <w:rsid w:val="447A0054"/>
    <w:rsid w:val="44BF6175"/>
    <w:rsid w:val="45175EBE"/>
    <w:rsid w:val="45217784"/>
    <w:rsid w:val="45D51A50"/>
    <w:rsid w:val="46327DA1"/>
    <w:rsid w:val="464854ED"/>
    <w:rsid w:val="473305F6"/>
    <w:rsid w:val="474E7DCE"/>
    <w:rsid w:val="478D428E"/>
    <w:rsid w:val="47A20FA6"/>
    <w:rsid w:val="47CA7D9C"/>
    <w:rsid w:val="4813257B"/>
    <w:rsid w:val="48FB12C6"/>
    <w:rsid w:val="491C2B75"/>
    <w:rsid w:val="49731256"/>
    <w:rsid w:val="49D15E99"/>
    <w:rsid w:val="49F8260D"/>
    <w:rsid w:val="4A1739CD"/>
    <w:rsid w:val="4A2C2648"/>
    <w:rsid w:val="4A331B12"/>
    <w:rsid w:val="4B650E12"/>
    <w:rsid w:val="4B7F1189"/>
    <w:rsid w:val="4C1375B9"/>
    <w:rsid w:val="4CC56F7B"/>
    <w:rsid w:val="4D4C3002"/>
    <w:rsid w:val="4D5A32E7"/>
    <w:rsid w:val="4D6139FC"/>
    <w:rsid w:val="4E55752A"/>
    <w:rsid w:val="4ED97489"/>
    <w:rsid w:val="4EE9663D"/>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969171F"/>
    <w:rsid w:val="5B180CC2"/>
    <w:rsid w:val="5D0F01EA"/>
    <w:rsid w:val="5D6A27EE"/>
    <w:rsid w:val="5DEE13E8"/>
    <w:rsid w:val="5DF90215"/>
    <w:rsid w:val="5E9E19A7"/>
    <w:rsid w:val="5FCA52BF"/>
    <w:rsid w:val="5FEB1C14"/>
    <w:rsid w:val="60704E63"/>
    <w:rsid w:val="60EF3A25"/>
    <w:rsid w:val="60FA4AA9"/>
    <w:rsid w:val="613D305D"/>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A29466B"/>
    <w:rsid w:val="6A935C7F"/>
    <w:rsid w:val="6BCA3D49"/>
    <w:rsid w:val="6C5A6E40"/>
    <w:rsid w:val="6C7E480C"/>
    <w:rsid w:val="6CE60925"/>
    <w:rsid w:val="6D060267"/>
    <w:rsid w:val="6E4268B2"/>
    <w:rsid w:val="702A24D3"/>
    <w:rsid w:val="725235A6"/>
    <w:rsid w:val="737204BA"/>
    <w:rsid w:val="74157E6A"/>
    <w:rsid w:val="74C067B1"/>
    <w:rsid w:val="74C330C7"/>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眉 字符"/>
    <w:basedOn w:val="7"/>
    <w:link w:val="5"/>
    <w:qFormat/>
    <w:uiPriority w:val="0"/>
    <w:rPr>
      <w:rFonts w:asciiTheme="minorHAnsi" w:hAnsiTheme="minorHAnsi" w:eastAsiaTheme="minorEastAsia" w:cstheme="minorBidi"/>
      <w:kern w:val="2"/>
      <w:sz w:val="18"/>
      <w:szCs w:val="18"/>
    </w:rPr>
  </w:style>
  <w:style w:type="character" w:customStyle="1" w:styleId="12">
    <w:name w:val="页脚 字符"/>
    <w:basedOn w:val="7"/>
    <w:link w:val="4"/>
    <w:qFormat/>
    <w:uiPriority w:val="0"/>
    <w:rPr>
      <w:rFonts w:asciiTheme="minorHAnsi" w:hAnsiTheme="minorHAnsi" w:eastAsiaTheme="minorEastAsia" w:cstheme="minorBidi"/>
      <w:kern w:val="2"/>
      <w:sz w:val="18"/>
      <w:szCs w:val="18"/>
    </w:rPr>
  </w:style>
  <w:style w:type="paragraph" w:customStyle="1" w:styleId="13">
    <w:name w:val="列出段落1"/>
    <w:basedOn w:val="1"/>
    <w:qFormat/>
    <w:uiPriority w:val="99"/>
    <w:pPr>
      <w:ind w:firstLine="420" w:firstLineChars="200"/>
    </w:pPr>
    <w:rPr>
      <w:rFonts w:ascii="Calibri" w:hAnsi="Calibri" w:eastAsia="宋体" w:cs="Calibri"/>
      <w:szCs w:val="21"/>
    </w:rPr>
  </w:style>
  <w:style w:type="paragraph" w:styleId="14">
    <w:name w:val="List Paragraph"/>
    <w:basedOn w:val="1"/>
    <w:autoRedefine/>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1477</Words>
  <Characters>1499</Characters>
  <Lines>13</Lines>
  <Paragraphs>3</Paragraphs>
  <TotalTime>167</TotalTime>
  <ScaleCrop>false</ScaleCrop>
  <LinksUpToDate>false</LinksUpToDate>
  <CharactersWithSpaces>1517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2022-12-09T07:51:00Z</cp:lastPrinted>
  <dcterms:modified xsi:type="dcterms:W3CDTF">2024-11-05T06:31:39Z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666BD78F4B154BBF89CA95309CB18004_13</vt:lpwstr>
  </property>
</Properties>
</file>